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4BB96" w14:textId="6DB3BC05" w:rsidR="0055194F" w:rsidRPr="00D552E0" w:rsidRDefault="001D2EF4" w:rsidP="00635248">
      <w:pPr>
        <w:jc w:val="center"/>
        <w:rPr>
          <w:sz w:val="32"/>
          <w:szCs w:val="32"/>
        </w:rPr>
      </w:pPr>
      <w:r w:rsidRPr="00D552E0">
        <w:rPr>
          <w:sz w:val="32"/>
          <w:szCs w:val="32"/>
        </w:rPr>
        <w:t>Retningslinje for søknad om g</w:t>
      </w:r>
      <w:r>
        <w:rPr>
          <w:sz w:val="32"/>
          <w:szCs w:val="32"/>
        </w:rPr>
        <w:t xml:space="preserve">odkjenning av </w:t>
      </w:r>
      <w:r w:rsidR="00D7232E">
        <w:rPr>
          <w:sz w:val="32"/>
          <w:szCs w:val="32"/>
        </w:rPr>
        <w:t xml:space="preserve">organisasjonens implementering av Part-IS, inkludert </w:t>
      </w:r>
      <w:r w:rsidR="0040156E" w:rsidRPr="00D552E0">
        <w:rPr>
          <w:sz w:val="32"/>
          <w:szCs w:val="32"/>
        </w:rPr>
        <w:t>håndbok for styring av informasjonssikkerhet (ISMM)</w:t>
      </w:r>
    </w:p>
    <w:p w14:paraId="3C21731C" w14:textId="77777777" w:rsidR="00D10CB0" w:rsidRPr="00D552E0" w:rsidRDefault="00D10CB0" w:rsidP="00635248">
      <w:pPr>
        <w:jc w:val="center"/>
        <w:rPr>
          <w:sz w:val="32"/>
          <w:szCs w:val="32"/>
        </w:rPr>
      </w:pPr>
    </w:p>
    <w:p w14:paraId="0BD1A2F0" w14:textId="77777777" w:rsidR="00D10CB0" w:rsidRDefault="00D10CB0" w:rsidP="00D10CB0">
      <w:r>
        <w:t>Forskrift om informasjonssikkerhet i sivil luftfart (</w:t>
      </w:r>
      <w:hyperlink r:id="rId10" w:history="1">
        <w:r w:rsidRPr="00A34323">
          <w:rPr>
            <w:rStyle w:val="Hyperkobling"/>
          </w:rPr>
          <w:t>FOR-2025-10-24-2093</w:t>
        </w:r>
      </w:hyperlink>
      <w:r>
        <w:t xml:space="preserve">), heretter kalt «Part-IS» fastsetter </w:t>
      </w:r>
      <w:r w:rsidRPr="008E47FB">
        <w:t>krav til håndtering av informasjonssikkerhetsrisikoer med mulig innvirkning på flysikkerheten</w:t>
      </w:r>
      <w:r>
        <w:t xml:space="preserve">, gjennom innføring av </w:t>
      </w:r>
      <w:r w:rsidRPr="00701B7E">
        <w:t>forordning </w:t>
      </w:r>
      <w:hyperlink r:id="rId11" w:history="1">
        <w:r w:rsidRPr="00701B7E">
          <w:rPr>
            <w:rStyle w:val="Hyperkobling"/>
          </w:rPr>
          <w:t>(EU) 2023/203</w:t>
        </w:r>
      </w:hyperlink>
      <w:r>
        <w:t xml:space="preserve"> og </w:t>
      </w:r>
      <w:hyperlink r:id="rId12" w:history="1">
        <w:r w:rsidRPr="00701B7E">
          <w:rPr>
            <w:rStyle w:val="Hyperkobling"/>
          </w:rPr>
          <w:t>(EU) 2022/1645</w:t>
        </w:r>
      </w:hyperlink>
      <w:r>
        <w:t xml:space="preserve"> i norsk rett. </w:t>
      </w:r>
    </w:p>
    <w:p w14:paraId="046499F2" w14:textId="77777777" w:rsidR="00D10CB0" w:rsidRDefault="00D10CB0" w:rsidP="00D10CB0">
      <w:r>
        <w:t>Forordningenes punkt IS.I.OR.250 stiller krav til en håndbok for styring av informasjonssikkerhet (ISMM). Det stilles følgende overordnede krav til ISMM:</w:t>
      </w:r>
    </w:p>
    <w:tbl>
      <w:tblPr>
        <w:tblStyle w:val="Tabellrutenett"/>
        <w:tblW w:w="15334" w:type="dxa"/>
        <w:tblLook w:val="04A0" w:firstRow="1" w:lastRow="0" w:firstColumn="1" w:lastColumn="0" w:noHBand="0" w:noVBand="1"/>
      </w:tblPr>
      <w:tblGrid>
        <w:gridCol w:w="15334"/>
      </w:tblGrid>
      <w:tr w:rsidR="00D10CB0" w14:paraId="6C8F9C81" w14:textId="77777777" w:rsidTr="00876F55">
        <w:trPr>
          <w:cantSplit/>
        </w:trPr>
        <w:tc>
          <w:tcPr>
            <w:tcW w:w="15334" w:type="dxa"/>
            <w:shd w:val="clear" w:color="auto" w:fill="CAEDFB" w:themeFill="accent4" w:themeFillTint="33"/>
          </w:tcPr>
          <w:p w14:paraId="22729AB4" w14:textId="77777777" w:rsidR="00D10CB0" w:rsidRDefault="00D10CB0" w:rsidP="00876F55">
            <w:pPr>
              <w:tabs>
                <w:tab w:val="left" w:pos="2694"/>
              </w:tabs>
            </w:pPr>
            <w:r>
              <w:t xml:space="preserve">IS.I.OR.250 (b) </w:t>
            </w:r>
          </w:p>
          <w:p w14:paraId="21A5B14D" w14:textId="5E244338" w:rsidR="00D10CB0" w:rsidRDefault="0046378A" w:rsidP="00876F55">
            <w:pPr>
              <w:tabs>
                <w:tab w:val="left" w:pos="2694"/>
              </w:tabs>
              <w:ind w:left="708"/>
            </w:pPr>
            <w:r>
              <w:t>Den første utgaven</w:t>
            </w:r>
            <w:r w:rsidR="00D10CB0">
              <w:t xml:space="preserve"> av ISMM skal godkjennes av Luftfartstilsynet. </w:t>
            </w:r>
            <w:r w:rsidR="00E937DA" w:rsidRPr="00E937DA">
              <w:t xml:space="preserve">ISMM skal endres etter behov for å forbli en oppdatert beskrivelse av organisasjonens styringssystem for informasjonssikkerhet (ISMS). En kopi av eventuelle endringer i ISMM skal oversendes </w:t>
            </w:r>
            <w:r w:rsidR="00455205">
              <w:t>Luftfartstilsynet</w:t>
            </w:r>
            <w:r w:rsidR="00E937DA" w:rsidRPr="00E937DA">
              <w:t>.</w:t>
            </w:r>
          </w:p>
        </w:tc>
      </w:tr>
      <w:tr w:rsidR="00D10CB0" w14:paraId="34C82896" w14:textId="77777777" w:rsidTr="00876F55">
        <w:trPr>
          <w:cantSplit/>
        </w:trPr>
        <w:tc>
          <w:tcPr>
            <w:tcW w:w="15334" w:type="dxa"/>
            <w:shd w:val="clear" w:color="auto" w:fill="CAEDFB" w:themeFill="accent4" w:themeFillTint="33"/>
          </w:tcPr>
          <w:p w14:paraId="5C73F048" w14:textId="77777777" w:rsidR="00D10CB0" w:rsidRDefault="00D10CB0" w:rsidP="00876F55">
            <w:pPr>
              <w:tabs>
                <w:tab w:val="left" w:pos="2694"/>
              </w:tabs>
            </w:pPr>
            <w:r>
              <w:t>IS.I.OR.250 (c)</w:t>
            </w:r>
          </w:p>
          <w:p w14:paraId="66D5D7E4" w14:textId="74D8DCB9" w:rsidR="00D10CB0" w:rsidRDefault="00D10CB0" w:rsidP="00876F55">
            <w:pPr>
              <w:tabs>
                <w:tab w:val="left" w:pos="2694"/>
              </w:tabs>
              <w:ind w:left="708"/>
            </w:pPr>
            <w:r>
              <w:t xml:space="preserve">Endringer av ISMM skal gjøres i henhold til en etablert prosedyre. Alle endringer som ikke er dekket av denne prosedyren, og alle endringer nevnt i punkt </w:t>
            </w:r>
            <w:r w:rsidRPr="00615D7F">
              <w:rPr>
                <w:b/>
                <w:bCs/>
              </w:rPr>
              <w:t>IS.I.OR.255(b)</w:t>
            </w:r>
            <w:r w:rsidR="00B27822">
              <w:rPr>
                <w:b/>
                <w:bCs/>
              </w:rPr>
              <w:t>,</w:t>
            </w:r>
            <w:r>
              <w:t xml:space="preserve"> skal godkjennes av Luftfartstilsynet </w:t>
            </w:r>
          </w:p>
        </w:tc>
      </w:tr>
    </w:tbl>
    <w:p w14:paraId="7DC9C566" w14:textId="77777777" w:rsidR="00D10CB0" w:rsidRDefault="00D10CB0" w:rsidP="00D10CB0"/>
    <w:p w14:paraId="40A6E220" w14:textId="719E307E" w:rsidR="00D10CB0" w:rsidRDefault="00D10CB0" w:rsidP="00D10CB0">
      <w:pPr>
        <w:tabs>
          <w:tab w:val="left" w:pos="2694"/>
        </w:tabs>
      </w:pPr>
      <w:r>
        <w:t xml:space="preserve">Forordningenes punkt </w:t>
      </w:r>
      <w:r w:rsidRPr="00225C1C">
        <w:rPr>
          <w:b/>
          <w:bCs/>
        </w:rPr>
        <w:t>IS.I.OR.250 (d)</w:t>
      </w:r>
      <w:r>
        <w:t xml:space="preserve"> åpner for at ISMM kan </w:t>
      </w:r>
      <w:proofErr w:type="gramStart"/>
      <w:r>
        <w:t>integreres</w:t>
      </w:r>
      <w:proofErr w:type="gramEnd"/>
      <w:r>
        <w:t xml:space="preserve"> inn i andre styringshåndbøker, forutsatt at det foreligger en klar kryssreferanse </w:t>
      </w:r>
      <w:r w:rsidRPr="00014B29">
        <w:t xml:space="preserve">som angir hvilke deler av styringshåndboken eller manualen som svarer til de ulike kravene i </w:t>
      </w:r>
      <w:r>
        <w:t>Part</w:t>
      </w:r>
      <w:r w:rsidR="00BF4BF7">
        <w:t>-</w:t>
      </w:r>
      <w:r>
        <w:t>IS regelverket.</w:t>
      </w:r>
    </w:p>
    <w:p w14:paraId="325BEAAE" w14:textId="2B1FBB2A" w:rsidR="003C205A" w:rsidRDefault="00635248" w:rsidP="003C205A">
      <w:r w:rsidRPr="00635248">
        <w:t>Under følger en</w:t>
      </w:r>
      <w:r w:rsidR="00D95514">
        <w:t xml:space="preserve"> tabell</w:t>
      </w:r>
      <w:r w:rsidR="001D2EF4">
        <w:t xml:space="preserve"> </w:t>
      </w:r>
      <w:r w:rsidR="00AE7D71">
        <w:t>(Tab</w:t>
      </w:r>
      <w:r w:rsidR="008A2A5C">
        <w:t>ell</w:t>
      </w:r>
      <w:r w:rsidR="00AE7D71">
        <w:t xml:space="preserve"> 1) </w:t>
      </w:r>
      <w:r w:rsidR="001D2EF4">
        <w:t>med</w:t>
      </w:r>
      <w:r w:rsidR="00C13E46">
        <w:t xml:space="preserve"> over</w:t>
      </w:r>
      <w:r w:rsidR="002855E7">
        <w:t xml:space="preserve">sikt over </w:t>
      </w:r>
      <w:r w:rsidR="00C13E46">
        <w:t>krav</w:t>
      </w:r>
      <w:r w:rsidR="00F4498D">
        <w:t xml:space="preserve"> til innhold i ISM</w:t>
      </w:r>
      <w:r w:rsidR="00E36DE5">
        <w:t>M</w:t>
      </w:r>
      <w:r w:rsidR="003414FD">
        <w:t>. Denne tabellen er utarbeidet</w:t>
      </w:r>
      <w:r w:rsidR="00E36DE5">
        <w:t xml:space="preserve"> </w:t>
      </w:r>
      <w:r w:rsidR="008C1319">
        <w:t>for å lette arbeidet</w:t>
      </w:r>
      <w:r w:rsidR="008D26C2">
        <w:t xml:space="preserve"> med </w:t>
      </w:r>
      <w:r w:rsidR="00406162">
        <w:t xml:space="preserve">etablering og </w:t>
      </w:r>
      <w:r w:rsidR="008D26C2">
        <w:t>godkjenning</w:t>
      </w:r>
      <w:r w:rsidR="00A634AD">
        <w:t xml:space="preserve"> av den første utgaven</w:t>
      </w:r>
      <w:r w:rsidR="000D39BC">
        <w:t>.</w:t>
      </w:r>
      <w:r w:rsidR="008C1319">
        <w:t xml:space="preserve"> </w:t>
      </w:r>
      <w:r w:rsidR="00A33BE4">
        <w:t>Ut</w:t>
      </w:r>
      <w:r w:rsidR="00DE1FD8">
        <w:t xml:space="preserve">fylt </w:t>
      </w:r>
      <w:r w:rsidR="005656EF">
        <w:t>vil denne tabellen</w:t>
      </w:r>
      <w:r w:rsidR="005535E6">
        <w:t xml:space="preserve"> </w:t>
      </w:r>
      <w:r w:rsidR="00D65EE6">
        <w:t>(</w:t>
      </w:r>
      <w:r w:rsidR="005535E6">
        <w:t>med tilhørende dokumentasjon</w:t>
      </w:r>
      <w:r w:rsidR="00D65EE6">
        <w:t>),</w:t>
      </w:r>
      <w:r w:rsidR="005656EF">
        <w:t xml:space="preserve"> danne utgangspunkt for godkjenning av ISMM</w:t>
      </w:r>
      <w:r w:rsidR="00D65EE6">
        <w:t xml:space="preserve">. </w:t>
      </w:r>
      <w:r w:rsidR="003414FD">
        <w:t xml:space="preserve">Hensikten med </w:t>
      </w:r>
      <w:r w:rsidR="008A3346">
        <w:t>tabellen er</w:t>
      </w:r>
      <w:r w:rsidR="007B31CD">
        <w:t xml:space="preserve"> å</w:t>
      </w:r>
      <w:r w:rsidR="00D65EE6">
        <w:t xml:space="preserve"> </w:t>
      </w:r>
      <w:r w:rsidR="003C205A">
        <w:t>sikre at organisasjoner er oppmerksomme på alle krav Luftfartstilsynet må verifisere før godkjenning kan gis, slik at vi unngår å måtte etterlyse manglende informasjon etter at søknaden er mottatt.</w:t>
      </w:r>
    </w:p>
    <w:p w14:paraId="5FD91367" w14:textId="5345721C" w:rsidR="00635248" w:rsidRDefault="00D7232E">
      <w:r>
        <w:t>Tabell 1</w:t>
      </w:r>
      <w:r w:rsidRPr="00D7232E">
        <w:t xml:space="preserve"> </w:t>
      </w:r>
      <w:r w:rsidR="00AA496B" w:rsidRPr="00D7232E">
        <w:t>må anses som en innholdsforte</w:t>
      </w:r>
      <w:r w:rsidR="00D969A5" w:rsidRPr="00D7232E">
        <w:t>g</w:t>
      </w:r>
      <w:r w:rsidR="00AA496B" w:rsidRPr="00D7232E">
        <w:t>nelse over all innsendt dokumentasjon. Luftfartstil</w:t>
      </w:r>
      <w:r w:rsidR="00466F4C" w:rsidRPr="00D7232E">
        <w:t>synet trenger kopi av alle beskrivelser det refereres til, ettersom dette</w:t>
      </w:r>
      <w:r w:rsidR="006960F9" w:rsidRPr="00D7232E">
        <w:t xml:space="preserve"> av forvaltningsmessige grunner må ligge som dokumentasjon på hva som rent faktisk er godkjent. Det er altså ikke tilstrekkelig å sende inn linker til beskrivelser i interne systemer, da slik tekst kan endres over ti</w:t>
      </w:r>
      <w:r w:rsidR="00D60ED5" w:rsidRPr="00D7232E">
        <w:t xml:space="preserve">d. </w:t>
      </w:r>
    </w:p>
    <w:p w14:paraId="6199481F" w14:textId="14BA0CEF" w:rsidR="00635248" w:rsidRDefault="00635248">
      <w:r>
        <w:lastRenderedPageBreak/>
        <w:t>Vi ber dere være nøye med å presisere hvor ulike elementer er beskrevet. Har dere eksempel</w:t>
      </w:r>
      <w:r w:rsidR="004A15E8">
        <w:t>vis</w:t>
      </w:r>
      <w:r>
        <w:t xml:space="preserve"> </w:t>
      </w:r>
      <w:r w:rsidR="0072493D">
        <w:t xml:space="preserve">har </w:t>
      </w:r>
      <w:r>
        <w:t xml:space="preserve">et langt kapittel 9 i ISMM, og det aktuelle punktet i </w:t>
      </w:r>
      <w:proofErr w:type="spellStart"/>
      <w:r>
        <w:t>compliance</w:t>
      </w:r>
      <w:proofErr w:type="spellEnd"/>
      <w:r w:rsidR="00737FC2">
        <w:t>-</w:t>
      </w:r>
      <w:r>
        <w:t xml:space="preserve">listen står beskrevet i kap. 9.2.3.21, så skriv </w:t>
      </w:r>
      <w:r w:rsidR="00737FC2">
        <w:t>denne referansen fullt ut</w:t>
      </w:r>
      <w:r>
        <w:t>. Ikke skriv «ISMM» som referanse eller bare «kap</w:t>
      </w:r>
      <w:r w:rsidR="00E32441">
        <w:t>.</w:t>
      </w:r>
      <w:r>
        <w:t xml:space="preserve"> 9»</w:t>
      </w:r>
      <w:r w:rsidR="009E5448">
        <w:t>, da dette vil lette saksbehandlingen</w:t>
      </w:r>
      <w:r>
        <w:t>. Det sparer oss for mye søk og letearbeid under gjennomgangen, og sikrer samtidig at kravet rent faktisk er beskrevet.</w:t>
      </w:r>
      <w:r w:rsidR="00D46272">
        <w:t xml:space="preserve"> </w:t>
      </w:r>
    </w:p>
    <w:p w14:paraId="3A41D077" w14:textId="77777777" w:rsidR="00C66EE3" w:rsidRDefault="00D7232E">
      <w:r>
        <w:t xml:space="preserve">Tabell 2 beskriver alle krav til organisasjonen, også de som ikke nødvendigvis </w:t>
      </w:r>
      <w:r w:rsidR="00C66EE3">
        <w:t>må</w:t>
      </w:r>
      <w:r>
        <w:t xml:space="preserve"> stå i ISMM</w:t>
      </w:r>
      <w:r w:rsidR="00C66EE3">
        <w:t xml:space="preserve">. </w:t>
      </w:r>
    </w:p>
    <w:p w14:paraId="395C03D0" w14:textId="13B3B903" w:rsidR="00C66EE3" w:rsidRDefault="00C66EE3">
      <w:r>
        <w:t>Så mens Tabell 1 beskriver hva som konkret må stå beskrevet i ISMM, inneholder Tabell 2 alle krav knyttet til implementering av Part-IS i organisasjonen. Referansene i høyre kolonne i tabell 2 kan altså enten vise til konkrete beskrivelser i ISMM eller andre manualer, eller til vedlegg der man i fritekst beskriver hvordan kravet er ivaretatt dersom det ikke inngår som konkrete beskrivelser i annen dokumentasjon.</w:t>
      </w:r>
    </w:p>
    <w:p w14:paraId="635A13C6" w14:textId="088F9AB3" w:rsidR="00635248" w:rsidRDefault="00635248">
      <w:r>
        <w:t xml:space="preserve">I og med at Part-IS blir en del av </w:t>
      </w:r>
      <w:r w:rsidR="00AB4973">
        <w:t>styringssystemet</w:t>
      </w:r>
      <w:r>
        <w:t>, vil en rekke av beskrivelsene kunne ligge i andre dokumenter/manualer enn ISMM (</w:t>
      </w:r>
      <w:r w:rsidRPr="00737FC2">
        <w:rPr>
          <w:i/>
          <w:iCs/>
        </w:rPr>
        <w:t xml:space="preserve">eksempelvis management manualen, med mindre ISMM </w:t>
      </w:r>
      <w:r w:rsidR="00BB5154">
        <w:rPr>
          <w:i/>
          <w:iCs/>
        </w:rPr>
        <w:t>innarbeid</w:t>
      </w:r>
      <w:r w:rsidR="00C93883">
        <w:rPr>
          <w:i/>
          <w:iCs/>
        </w:rPr>
        <w:t>es</w:t>
      </w:r>
      <w:r w:rsidR="00BB5154" w:rsidRPr="00737FC2">
        <w:rPr>
          <w:i/>
          <w:iCs/>
        </w:rPr>
        <w:t xml:space="preserve"> </w:t>
      </w:r>
      <w:r w:rsidRPr="00737FC2">
        <w:rPr>
          <w:i/>
          <w:iCs/>
        </w:rPr>
        <w:t>i denne</w:t>
      </w:r>
      <w:r>
        <w:t>). Prosedyrer og administrative elementer kan også ligge i appendi</w:t>
      </w:r>
      <w:r w:rsidR="00737FC2">
        <w:t>ks</w:t>
      </w:r>
      <w:r>
        <w:t xml:space="preserve">er/vedlegg eller annen </w:t>
      </w:r>
      <w:r w:rsidR="000A5734">
        <w:t>frittstående dokumentasjon.</w:t>
      </w:r>
      <w:r>
        <w:t xml:space="preserve"> Det derfor er viktig å </w:t>
      </w:r>
      <w:r w:rsidR="00C06421">
        <w:t xml:space="preserve">ha med </w:t>
      </w:r>
      <w:r w:rsidR="00A85E3F">
        <w:t>alle relevante referanser</w:t>
      </w:r>
      <w:r w:rsidR="00C06421">
        <w:t xml:space="preserve">, ikke bare </w:t>
      </w:r>
      <w:r w:rsidR="00787634">
        <w:t xml:space="preserve">til </w:t>
      </w:r>
      <w:r w:rsidR="00C06421">
        <w:t>ISMM.</w:t>
      </w:r>
      <w:r w:rsidR="00D7232E">
        <w:t xml:space="preserve"> Når det gjelder underlagsdokumentasjon skal komplett ISMM manual sendes inn, mens prosesser og prosedyrer knyttet til Part-IS bestemmelsene som er beskrevet i annen dokumentasjon enn ISMM (eksempelvis MSM elle </w:t>
      </w:r>
      <w:proofErr w:type="spellStart"/>
      <w:r w:rsidR="00D7232E">
        <w:t>office</w:t>
      </w:r>
      <w:proofErr w:type="spellEnd"/>
      <w:r w:rsidR="00D7232E">
        <w:t xml:space="preserve">-dokumentasjon) kan sendes inn som </w:t>
      </w:r>
      <w:proofErr w:type="spellStart"/>
      <w:r w:rsidR="00D7232E">
        <w:t>uttdrag</w:t>
      </w:r>
      <w:proofErr w:type="spellEnd"/>
      <w:r w:rsidR="00D7232E">
        <w:t>. Hvis eksempelvis kompetansekrav er beskrevet i OM-A eller MSM, så ikke send inn hele MSM eller OM-</w:t>
      </w:r>
      <w:proofErr w:type="gramStart"/>
      <w:r w:rsidR="00D7232E">
        <w:t>A</w:t>
      </w:r>
      <w:proofErr w:type="gramEnd"/>
      <w:r w:rsidR="00D7232E">
        <w:t xml:space="preserve"> men heller utdrag av de kapitlene som er endret med hensyn til Part-IS </w:t>
      </w:r>
      <w:r w:rsidR="00C66EE3">
        <w:t>innlemmelsen</w:t>
      </w:r>
      <w:r w:rsidR="00D7232E">
        <w:t>.</w:t>
      </w:r>
    </w:p>
    <w:p w14:paraId="25BBA057" w14:textId="4FAB79CB" w:rsidR="00737FC2" w:rsidRDefault="00737FC2">
      <w:r>
        <w:t xml:space="preserve">Under utarbeidelse av manualer og integrasjon av Part IS i organisasjonen, er det viktig å sette seg </w:t>
      </w:r>
      <w:r w:rsidR="00B920DE">
        <w:t xml:space="preserve">godt </w:t>
      </w:r>
      <w:r>
        <w:t>inn i AMC</w:t>
      </w:r>
      <w:r w:rsidR="00AA5D33">
        <w:t>-</w:t>
      </w:r>
      <w:r>
        <w:t xml:space="preserve"> og GM</w:t>
      </w:r>
      <w:r w:rsidR="00AA5D33">
        <w:t>-</w:t>
      </w:r>
      <w:r>
        <w:t xml:space="preserve">materialet til </w:t>
      </w:r>
      <w:r w:rsidR="00A61296">
        <w:t>forordningene.</w:t>
      </w:r>
      <w:r w:rsidR="00D7232E">
        <w:br/>
      </w:r>
      <w:r>
        <w:t xml:space="preserve">I </w:t>
      </w:r>
      <w:proofErr w:type="spellStart"/>
      <w:r>
        <w:t>compliance</w:t>
      </w:r>
      <w:proofErr w:type="spellEnd"/>
      <w:r>
        <w:t xml:space="preserve"> listen under er </w:t>
      </w:r>
      <w:r w:rsidR="00D7232E">
        <w:t xml:space="preserve">bare aktuelle </w:t>
      </w:r>
      <w:r>
        <w:t xml:space="preserve">deler av </w:t>
      </w:r>
      <w:r w:rsidR="00EA699B">
        <w:t xml:space="preserve">IR-kravene </w:t>
      </w:r>
      <w:r>
        <w:t xml:space="preserve">listet, men tilhørende </w:t>
      </w:r>
      <w:proofErr w:type="spellStart"/>
      <w:r>
        <w:t>AMC’er</w:t>
      </w:r>
      <w:proofErr w:type="spellEnd"/>
      <w:r>
        <w:t xml:space="preserve"> må følges.</w:t>
      </w:r>
    </w:p>
    <w:p w14:paraId="1D41E9EA" w14:textId="77777777" w:rsidR="004C1D5D" w:rsidRDefault="004C1D5D"/>
    <w:p w14:paraId="557A6911" w14:textId="6F19D445" w:rsidR="00EB31E0" w:rsidRPr="00A04901" w:rsidRDefault="00EB31E0" w:rsidP="00E31236">
      <w:pPr>
        <w:pStyle w:val="Bildetekst"/>
        <w:keepNext/>
        <w:rPr>
          <w:b/>
          <w:bCs/>
          <w:sz w:val="24"/>
          <w:szCs w:val="24"/>
        </w:rPr>
      </w:pPr>
      <w:r w:rsidRPr="00A04901">
        <w:rPr>
          <w:b/>
          <w:bCs/>
          <w:sz w:val="24"/>
          <w:szCs w:val="24"/>
        </w:rPr>
        <w:t>Ta</w:t>
      </w:r>
      <w:r w:rsidR="008A2A5C" w:rsidRPr="00A04901">
        <w:rPr>
          <w:b/>
          <w:bCs/>
          <w:sz w:val="24"/>
          <w:szCs w:val="24"/>
        </w:rPr>
        <w:t>bell</w:t>
      </w:r>
      <w:r w:rsidRPr="00A04901">
        <w:rPr>
          <w:b/>
          <w:bCs/>
          <w:sz w:val="24"/>
          <w:szCs w:val="24"/>
        </w:rPr>
        <w:t xml:space="preserve"> </w:t>
      </w:r>
      <w:r w:rsidRPr="00A04901">
        <w:rPr>
          <w:b/>
          <w:bCs/>
          <w:sz w:val="24"/>
          <w:szCs w:val="24"/>
        </w:rPr>
        <w:fldChar w:fldCharType="begin"/>
      </w:r>
      <w:r w:rsidRPr="00A04901">
        <w:rPr>
          <w:b/>
          <w:bCs/>
          <w:sz w:val="24"/>
          <w:szCs w:val="24"/>
        </w:rPr>
        <w:instrText xml:space="preserve"> SEQ Table \* ARABIC </w:instrText>
      </w:r>
      <w:r w:rsidRPr="00A04901">
        <w:rPr>
          <w:b/>
          <w:bCs/>
          <w:sz w:val="24"/>
          <w:szCs w:val="24"/>
        </w:rPr>
        <w:fldChar w:fldCharType="separate"/>
      </w:r>
      <w:r w:rsidR="00AA3129" w:rsidRPr="00A04901">
        <w:rPr>
          <w:b/>
          <w:bCs/>
          <w:noProof/>
          <w:sz w:val="24"/>
          <w:szCs w:val="24"/>
        </w:rPr>
        <w:t>1</w:t>
      </w:r>
      <w:r w:rsidRPr="00A04901">
        <w:rPr>
          <w:b/>
          <w:bCs/>
          <w:sz w:val="24"/>
          <w:szCs w:val="24"/>
        </w:rPr>
        <w:fldChar w:fldCharType="end"/>
      </w:r>
      <w:r w:rsidRPr="00A04901">
        <w:rPr>
          <w:b/>
          <w:bCs/>
          <w:sz w:val="24"/>
          <w:szCs w:val="24"/>
        </w:rPr>
        <w:t xml:space="preserve"> </w:t>
      </w:r>
      <w:r w:rsidR="00AA3129" w:rsidRPr="00A04901">
        <w:rPr>
          <w:b/>
          <w:bCs/>
          <w:sz w:val="24"/>
          <w:szCs w:val="24"/>
        </w:rPr>
        <w:t>K</w:t>
      </w:r>
      <w:r w:rsidRPr="00A04901">
        <w:rPr>
          <w:b/>
          <w:bCs/>
          <w:sz w:val="24"/>
          <w:szCs w:val="24"/>
        </w:rPr>
        <w:t>rav til innhold i ISMM</w:t>
      </w:r>
    </w:p>
    <w:tbl>
      <w:tblPr>
        <w:tblStyle w:val="Tabellrutenett"/>
        <w:tblW w:w="15334" w:type="dxa"/>
        <w:tblLook w:val="04A0" w:firstRow="1" w:lastRow="0" w:firstColumn="1" w:lastColumn="0" w:noHBand="0" w:noVBand="1"/>
      </w:tblPr>
      <w:tblGrid>
        <w:gridCol w:w="1430"/>
        <w:gridCol w:w="8995"/>
        <w:gridCol w:w="4909"/>
      </w:tblGrid>
      <w:tr w:rsidR="00953A83" w:rsidRPr="005E1CB2" w14:paraId="3D76CD86" w14:textId="77777777" w:rsidTr="650F04E2">
        <w:trPr>
          <w:cantSplit/>
        </w:trPr>
        <w:tc>
          <w:tcPr>
            <w:tcW w:w="15334" w:type="dxa"/>
            <w:gridSpan w:val="3"/>
            <w:shd w:val="clear" w:color="auto" w:fill="156082" w:themeFill="accent1"/>
          </w:tcPr>
          <w:p w14:paraId="6B267581" w14:textId="77777777" w:rsidR="00953A83" w:rsidRPr="00962713" w:rsidRDefault="00953A83" w:rsidP="00111E17">
            <w:pPr>
              <w:tabs>
                <w:tab w:val="left" w:pos="2694"/>
              </w:tabs>
              <w:rPr>
                <w:color w:val="FFFFFF" w:themeColor="background1"/>
                <w:lang w:val="en-US"/>
              </w:rPr>
            </w:pPr>
            <w:r w:rsidRPr="00962713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ISMM</w:t>
            </w:r>
            <w:r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 – </w:t>
            </w:r>
            <w:r w:rsidRPr="007A6D13">
              <w:rPr>
                <w:b/>
                <w:bCs/>
                <w:i/>
                <w:iCs/>
                <w:color w:val="FFFFFF" w:themeColor="background1"/>
                <w:sz w:val="28"/>
                <w:szCs w:val="28"/>
                <w:lang w:val="en-US"/>
              </w:rPr>
              <w:t>information security management manual</w:t>
            </w:r>
          </w:p>
        </w:tc>
      </w:tr>
      <w:tr w:rsidR="00953A83" w:rsidRPr="00334D2D" w14:paraId="44DBAFE1" w14:textId="77777777" w:rsidTr="650F04E2">
        <w:trPr>
          <w:cantSplit/>
        </w:trPr>
        <w:tc>
          <w:tcPr>
            <w:tcW w:w="1430" w:type="dxa"/>
            <w:shd w:val="clear" w:color="auto" w:fill="CAEDFB" w:themeFill="accent4" w:themeFillTint="33"/>
          </w:tcPr>
          <w:p w14:paraId="4F2C267C" w14:textId="7E334D9F" w:rsidR="00953A83" w:rsidRPr="00D61B37" w:rsidRDefault="00953A83" w:rsidP="00953A83">
            <w:pPr>
              <w:tabs>
                <w:tab w:val="left" w:pos="2694"/>
              </w:tabs>
              <w:rPr>
                <w:b/>
                <w:bCs/>
                <w:lang w:val="en-US"/>
              </w:rPr>
            </w:pPr>
            <w:r w:rsidRPr="009C5478">
              <w:rPr>
                <w:b/>
                <w:bCs/>
                <w:lang w:val="en-US"/>
              </w:rPr>
              <w:t>Regel</w:t>
            </w:r>
          </w:p>
        </w:tc>
        <w:tc>
          <w:tcPr>
            <w:tcW w:w="8995" w:type="dxa"/>
            <w:shd w:val="clear" w:color="auto" w:fill="CAEDFB" w:themeFill="accent4" w:themeFillTint="33"/>
          </w:tcPr>
          <w:p w14:paraId="6BCD34DE" w14:textId="1135C45A" w:rsidR="00953A83" w:rsidRDefault="00953A83" w:rsidP="00953A83">
            <w:pPr>
              <w:tabs>
                <w:tab w:val="left" w:pos="2694"/>
              </w:tabs>
            </w:pPr>
            <w:r w:rsidRPr="009C5478">
              <w:rPr>
                <w:b/>
                <w:bCs/>
                <w:lang w:val="en-US"/>
              </w:rPr>
              <w:t>Krav</w:t>
            </w:r>
          </w:p>
        </w:tc>
        <w:tc>
          <w:tcPr>
            <w:tcW w:w="4909" w:type="dxa"/>
            <w:shd w:val="clear" w:color="auto" w:fill="CAEDFB" w:themeFill="accent4" w:themeFillTint="33"/>
          </w:tcPr>
          <w:p w14:paraId="3A720FFA" w14:textId="56BA6046" w:rsidR="00953A83" w:rsidRPr="00334D2D" w:rsidRDefault="00953A83" w:rsidP="00953A83">
            <w:pPr>
              <w:tabs>
                <w:tab w:val="left" w:pos="2694"/>
              </w:tabs>
            </w:pPr>
            <w:proofErr w:type="spellStart"/>
            <w:r>
              <w:rPr>
                <w:b/>
                <w:bCs/>
                <w:lang w:val="en-US"/>
              </w:rPr>
              <w:t>Referanse</w:t>
            </w:r>
            <w:proofErr w:type="spellEnd"/>
          </w:p>
        </w:tc>
      </w:tr>
      <w:tr w:rsidR="00953A83" w:rsidRPr="00334D2D" w14:paraId="3DEFCE7A" w14:textId="77777777" w:rsidTr="650F04E2">
        <w:trPr>
          <w:cantSplit/>
        </w:trPr>
        <w:tc>
          <w:tcPr>
            <w:tcW w:w="1430" w:type="dxa"/>
            <w:vMerge w:val="restart"/>
            <w:shd w:val="clear" w:color="auto" w:fill="CAEDFB" w:themeFill="accent4" w:themeFillTint="33"/>
            <w:vAlign w:val="center"/>
          </w:tcPr>
          <w:p w14:paraId="2339AAC8" w14:textId="77777777" w:rsidR="00953A83" w:rsidRPr="00D61B37" w:rsidRDefault="00953A83" w:rsidP="00953A83">
            <w:pPr>
              <w:tabs>
                <w:tab w:val="left" w:pos="2694"/>
              </w:tabs>
              <w:rPr>
                <w:b/>
                <w:bCs/>
                <w:lang w:val="en-US"/>
              </w:rPr>
            </w:pPr>
            <w:r w:rsidRPr="00D61B37">
              <w:rPr>
                <w:b/>
                <w:bCs/>
                <w:lang w:val="en-US"/>
              </w:rPr>
              <w:t>IS.I.OR.250</w:t>
            </w:r>
          </w:p>
        </w:tc>
        <w:tc>
          <w:tcPr>
            <w:tcW w:w="8995" w:type="dxa"/>
            <w:shd w:val="clear" w:color="auto" w:fill="CAEDFB" w:themeFill="accent4" w:themeFillTint="33"/>
          </w:tcPr>
          <w:p w14:paraId="6058BAB8" w14:textId="77777777" w:rsidR="00953A83" w:rsidRDefault="00953A83" w:rsidP="00953A83">
            <w:pPr>
              <w:tabs>
                <w:tab w:val="left" w:pos="2694"/>
              </w:tabs>
            </w:pPr>
            <w:r>
              <w:t xml:space="preserve">(a)(1) </w:t>
            </w:r>
          </w:p>
          <w:p w14:paraId="47001529" w14:textId="29614A3D" w:rsidR="00953A83" w:rsidRPr="00334D2D" w:rsidRDefault="00161549" w:rsidP="5533F7A2">
            <w:pPr>
              <w:tabs>
                <w:tab w:val="left" w:pos="2694"/>
              </w:tabs>
              <w:ind w:left="708"/>
            </w:pPr>
            <w:r>
              <w:t>E</w:t>
            </w:r>
            <w:r w:rsidR="00E95729" w:rsidRPr="00E95729">
              <w:t>rklæring signert av ansvarlig leder (</w:t>
            </w:r>
            <w:proofErr w:type="spellStart"/>
            <w:r w:rsidR="00E95729" w:rsidRPr="00E95729">
              <w:rPr>
                <w:i/>
                <w:iCs/>
              </w:rPr>
              <w:t>accountable</w:t>
            </w:r>
            <w:proofErr w:type="spellEnd"/>
            <w:r w:rsidR="00E95729" w:rsidRPr="00E95729">
              <w:rPr>
                <w:i/>
                <w:iCs/>
              </w:rPr>
              <w:t xml:space="preserve"> manager</w:t>
            </w:r>
            <w:r w:rsidR="00E95729" w:rsidRPr="00E95729">
              <w:t xml:space="preserve">) som bekrefter at organisasjonen til enhver tid vil arbeide i samsvar med dette </w:t>
            </w:r>
            <w:r w:rsidR="00262115">
              <w:t>ve</w:t>
            </w:r>
            <w:r w:rsidR="00AE46E1">
              <w:t xml:space="preserve">dlegget </w:t>
            </w:r>
            <w:r w:rsidR="00E95729" w:rsidRPr="00E95729">
              <w:t>og med ISMM. Dersom ansvarlig leder ikke er organisasjonens administrerende direktør (CEO), skal CEO medundertegne erklæringen</w:t>
            </w:r>
          </w:p>
        </w:tc>
        <w:tc>
          <w:tcPr>
            <w:tcW w:w="4909" w:type="dxa"/>
            <w:shd w:val="clear" w:color="auto" w:fill="CAEDFB" w:themeFill="accent4" w:themeFillTint="33"/>
          </w:tcPr>
          <w:p w14:paraId="6938AA72" w14:textId="77777777" w:rsidR="00953A83" w:rsidRPr="00334D2D" w:rsidRDefault="00953A83" w:rsidP="00953A83">
            <w:pPr>
              <w:tabs>
                <w:tab w:val="left" w:pos="2694"/>
              </w:tabs>
            </w:pPr>
          </w:p>
        </w:tc>
      </w:tr>
      <w:tr w:rsidR="00953A83" w:rsidRPr="00334D2D" w14:paraId="016C7783" w14:textId="77777777" w:rsidTr="650F04E2">
        <w:trPr>
          <w:cantSplit/>
        </w:trPr>
        <w:tc>
          <w:tcPr>
            <w:tcW w:w="1430" w:type="dxa"/>
            <w:vMerge/>
            <w:vAlign w:val="center"/>
          </w:tcPr>
          <w:p w14:paraId="33D0E9D9" w14:textId="77777777" w:rsidR="00953A83" w:rsidRPr="00334D2D" w:rsidRDefault="00953A83" w:rsidP="00953A83">
            <w:pPr>
              <w:tabs>
                <w:tab w:val="left" w:pos="2694"/>
              </w:tabs>
            </w:pPr>
          </w:p>
        </w:tc>
        <w:tc>
          <w:tcPr>
            <w:tcW w:w="8995" w:type="dxa"/>
            <w:shd w:val="clear" w:color="auto" w:fill="CAEDFB" w:themeFill="accent4" w:themeFillTint="33"/>
          </w:tcPr>
          <w:p w14:paraId="70A80744" w14:textId="77777777" w:rsidR="00953A83" w:rsidRDefault="00953A83" w:rsidP="00953A83">
            <w:pPr>
              <w:tabs>
                <w:tab w:val="left" w:pos="2694"/>
              </w:tabs>
            </w:pPr>
            <w:r>
              <w:t xml:space="preserve">(a)(2) </w:t>
            </w:r>
          </w:p>
          <w:p w14:paraId="792BA8F2" w14:textId="7ADE0429" w:rsidR="00953A83" w:rsidRPr="00334D2D" w:rsidRDefault="00953A83" w:rsidP="00953A83">
            <w:pPr>
              <w:tabs>
                <w:tab w:val="left" w:pos="2694"/>
              </w:tabs>
              <w:ind w:left="708"/>
            </w:pPr>
            <w:r>
              <w:t>Tit</w:t>
            </w:r>
            <w:r w:rsidR="003F40C0">
              <w:t>ler</w:t>
            </w:r>
            <w:r w:rsidR="004D0E8B">
              <w:t xml:space="preserve">, </w:t>
            </w:r>
            <w:r>
              <w:t xml:space="preserve">navn, </w:t>
            </w:r>
            <w:r w:rsidR="00B26FA3">
              <w:t>plikter</w:t>
            </w:r>
            <w:r>
              <w:t>, ansvar</w:t>
            </w:r>
            <w:r w:rsidR="00863958">
              <w:t xml:space="preserve"> og myndighet for </w:t>
            </w:r>
            <w:r>
              <w:t>personer</w:t>
            </w:r>
            <w:r w:rsidR="00863958">
              <w:t xml:space="preserve"> som er definert </w:t>
            </w:r>
            <w:r w:rsidRPr="00615D7F">
              <w:rPr>
                <w:b/>
                <w:bCs/>
              </w:rPr>
              <w:t>IS</w:t>
            </w:r>
            <w:r w:rsidR="00AE46E1">
              <w:rPr>
                <w:b/>
                <w:bCs/>
              </w:rPr>
              <w:t>.</w:t>
            </w:r>
            <w:r w:rsidRPr="00615D7F">
              <w:rPr>
                <w:b/>
                <w:bCs/>
              </w:rPr>
              <w:t>I</w:t>
            </w:r>
            <w:r w:rsidR="00AE46E1">
              <w:rPr>
                <w:b/>
                <w:bCs/>
              </w:rPr>
              <w:t>.</w:t>
            </w:r>
            <w:r w:rsidRPr="00615D7F">
              <w:rPr>
                <w:b/>
                <w:bCs/>
              </w:rPr>
              <w:t>OR.240(b) og (c)</w:t>
            </w:r>
          </w:p>
        </w:tc>
        <w:tc>
          <w:tcPr>
            <w:tcW w:w="4909" w:type="dxa"/>
            <w:shd w:val="clear" w:color="auto" w:fill="CAEDFB" w:themeFill="accent4" w:themeFillTint="33"/>
          </w:tcPr>
          <w:p w14:paraId="1AFD45D3" w14:textId="77777777" w:rsidR="00953A83" w:rsidRPr="00334D2D" w:rsidRDefault="00953A83" w:rsidP="00953A83">
            <w:pPr>
              <w:tabs>
                <w:tab w:val="left" w:pos="2694"/>
              </w:tabs>
            </w:pPr>
          </w:p>
        </w:tc>
      </w:tr>
      <w:tr w:rsidR="00953A83" w:rsidRPr="00334D2D" w14:paraId="5DAA5661" w14:textId="77777777" w:rsidTr="650F04E2">
        <w:trPr>
          <w:cantSplit/>
        </w:trPr>
        <w:tc>
          <w:tcPr>
            <w:tcW w:w="1430" w:type="dxa"/>
            <w:vMerge/>
            <w:vAlign w:val="center"/>
          </w:tcPr>
          <w:p w14:paraId="3931977C" w14:textId="77777777" w:rsidR="00953A83" w:rsidRPr="00334D2D" w:rsidRDefault="00953A83" w:rsidP="00953A83">
            <w:pPr>
              <w:tabs>
                <w:tab w:val="left" w:pos="2694"/>
              </w:tabs>
            </w:pPr>
          </w:p>
        </w:tc>
        <w:tc>
          <w:tcPr>
            <w:tcW w:w="8995" w:type="dxa"/>
            <w:shd w:val="clear" w:color="auto" w:fill="CAEDFB" w:themeFill="accent4" w:themeFillTint="33"/>
          </w:tcPr>
          <w:p w14:paraId="3E8D410C" w14:textId="77777777" w:rsidR="00953A83" w:rsidRDefault="00953A83" w:rsidP="00953A83">
            <w:pPr>
              <w:tabs>
                <w:tab w:val="left" w:pos="2694"/>
              </w:tabs>
            </w:pPr>
            <w:r>
              <w:t xml:space="preserve">(a)(3) </w:t>
            </w:r>
          </w:p>
          <w:p w14:paraId="4C0535DC" w14:textId="7BBB61AF" w:rsidR="00953A83" w:rsidRPr="00334D2D" w:rsidRDefault="00F4110C" w:rsidP="5533F7A2">
            <w:pPr>
              <w:tabs>
                <w:tab w:val="left" w:pos="2694"/>
              </w:tabs>
              <w:ind w:left="708"/>
            </w:pPr>
            <w:r>
              <w:t>Felles ansv</w:t>
            </w:r>
            <w:r w:rsidR="006C7607">
              <w:t>arlig person (</w:t>
            </w:r>
            <w:r w:rsidR="00953A83">
              <w:t>CRP</w:t>
            </w:r>
            <w:r w:rsidR="006C7607">
              <w:t>)</w:t>
            </w:r>
            <w:r w:rsidR="005515F4">
              <w:rPr>
                <w:rFonts w:ascii="Aptos" w:eastAsia="Aptos" w:hAnsi="Aptos" w:cs="Aptos"/>
              </w:rPr>
              <w:t xml:space="preserve">, </w:t>
            </w:r>
            <w:r w:rsidR="3D1D08A9" w:rsidRPr="5533F7A2">
              <w:rPr>
                <w:rFonts w:ascii="Aptos" w:eastAsia="Aptos" w:hAnsi="Aptos" w:cs="Aptos"/>
              </w:rPr>
              <w:t>dersom denne er utnevnt</w:t>
            </w:r>
            <w:r w:rsidR="005515F4">
              <w:rPr>
                <w:rFonts w:ascii="Aptos" w:eastAsia="Aptos" w:hAnsi="Aptos" w:cs="Aptos"/>
              </w:rPr>
              <w:t>:</w:t>
            </w:r>
            <w:r w:rsidR="3D1D08A9" w:rsidRPr="5533F7A2">
              <w:rPr>
                <w:rFonts w:ascii="Aptos" w:eastAsia="Aptos" w:hAnsi="Aptos" w:cs="Aptos"/>
              </w:rPr>
              <w:t xml:space="preserve"> </w:t>
            </w:r>
            <w:r w:rsidR="00953A83">
              <w:t xml:space="preserve">- Tittel, </w:t>
            </w:r>
            <w:r w:rsidR="006822B3">
              <w:t>navn, plikter, ansvar og myndighet</w:t>
            </w:r>
            <w:r>
              <w:t xml:space="preserve"> </w:t>
            </w:r>
            <w:r w:rsidR="005515F4">
              <w:t>som</w:t>
            </w:r>
            <w:r>
              <w:t xml:space="preserve"> definert i </w:t>
            </w:r>
            <w:r w:rsidR="00953A83" w:rsidRPr="5533F7A2">
              <w:rPr>
                <w:b/>
                <w:bCs/>
              </w:rPr>
              <w:t>IS.I.OR.240(d)</w:t>
            </w:r>
          </w:p>
        </w:tc>
        <w:tc>
          <w:tcPr>
            <w:tcW w:w="4909" w:type="dxa"/>
            <w:shd w:val="clear" w:color="auto" w:fill="CAEDFB" w:themeFill="accent4" w:themeFillTint="33"/>
          </w:tcPr>
          <w:p w14:paraId="7EF02437" w14:textId="77777777" w:rsidR="00953A83" w:rsidRPr="00334D2D" w:rsidRDefault="00953A83" w:rsidP="00953A83">
            <w:pPr>
              <w:tabs>
                <w:tab w:val="left" w:pos="2694"/>
              </w:tabs>
            </w:pPr>
          </w:p>
        </w:tc>
      </w:tr>
      <w:tr w:rsidR="00953A83" w:rsidRPr="004D0CB4" w14:paraId="5058E884" w14:textId="77777777" w:rsidTr="650F04E2">
        <w:trPr>
          <w:cantSplit/>
        </w:trPr>
        <w:tc>
          <w:tcPr>
            <w:tcW w:w="1430" w:type="dxa"/>
            <w:vMerge/>
            <w:vAlign w:val="center"/>
          </w:tcPr>
          <w:p w14:paraId="6AC09F94" w14:textId="77777777" w:rsidR="00953A83" w:rsidRPr="00334D2D" w:rsidRDefault="00953A83" w:rsidP="00953A83">
            <w:pPr>
              <w:tabs>
                <w:tab w:val="left" w:pos="2694"/>
              </w:tabs>
            </w:pPr>
          </w:p>
        </w:tc>
        <w:tc>
          <w:tcPr>
            <w:tcW w:w="8995" w:type="dxa"/>
            <w:shd w:val="clear" w:color="auto" w:fill="CAEDFB" w:themeFill="accent4" w:themeFillTint="33"/>
          </w:tcPr>
          <w:p w14:paraId="7AB6D085" w14:textId="77777777" w:rsidR="00953A83" w:rsidRPr="000C047B" w:rsidRDefault="00953A83" w:rsidP="00953A83">
            <w:pPr>
              <w:tabs>
                <w:tab w:val="left" w:pos="2694"/>
              </w:tabs>
            </w:pPr>
            <w:r w:rsidRPr="000C047B">
              <w:t xml:space="preserve">(a)(4) </w:t>
            </w:r>
          </w:p>
          <w:p w14:paraId="526A83C3" w14:textId="6B883E2E" w:rsidR="00953A83" w:rsidRPr="000C047B" w:rsidRDefault="004D0CB4" w:rsidP="00953A83">
            <w:pPr>
              <w:tabs>
                <w:tab w:val="left" w:pos="2694"/>
              </w:tabs>
              <w:ind w:left="708"/>
            </w:pPr>
            <w:r w:rsidRPr="000C047B">
              <w:t>Organisasjonens policy for informasjo</w:t>
            </w:r>
            <w:r>
              <w:t>nssikker</w:t>
            </w:r>
            <w:r w:rsidR="00DC05CC">
              <w:t>het som nevnt i</w:t>
            </w:r>
            <w:r w:rsidR="00953A83" w:rsidRPr="000C047B">
              <w:t xml:space="preserve"> </w:t>
            </w:r>
            <w:r w:rsidR="003A68C7">
              <w:t xml:space="preserve">AMC til </w:t>
            </w:r>
            <w:r w:rsidR="00953A83" w:rsidRPr="000C047B">
              <w:rPr>
                <w:b/>
                <w:bCs/>
              </w:rPr>
              <w:t>IS.I.OR.200(a)(1)</w:t>
            </w:r>
          </w:p>
        </w:tc>
        <w:tc>
          <w:tcPr>
            <w:tcW w:w="4909" w:type="dxa"/>
            <w:shd w:val="clear" w:color="auto" w:fill="CAEDFB" w:themeFill="accent4" w:themeFillTint="33"/>
          </w:tcPr>
          <w:p w14:paraId="5B4DBD02" w14:textId="77777777" w:rsidR="00953A83" w:rsidRPr="000C047B" w:rsidRDefault="00953A83" w:rsidP="00953A83">
            <w:pPr>
              <w:tabs>
                <w:tab w:val="left" w:pos="2694"/>
              </w:tabs>
            </w:pPr>
          </w:p>
        </w:tc>
      </w:tr>
      <w:tr w:rsidR="00953A83" w:rsidRPr="00334D2D" w14:paraId="67227604" w14:textId="77777777" w:rsidTr="650F04E2">
        <w:trPr>
          <w:cantSplit/>
        </w:trPr>
        <w:tc>
          <w:tcPr>
            <w:tcW w:w="1430" w:type="dxa"/>
            <w:vMerge/>
            <w:vAlign w:val="center"/>
          </w:tcPr>
          <w:p w14:paraId="7DDCF447" w14:textId="77777777" w:rsidR="00953A83" w:rsidRPr="000C047B" w:rsidRDefault="00953A83" w:rsidP="00953A83">
            <w:pPr>
              <w:tabs>
                <w:tab w:val="left" w:pos="2694"/>
              </w:tabs>
            </w:pPr>
          </w:p>
        </w:tc>
        <w:tc>
          <w:tcPr>
            <w:tcW w:w="8995" w:type="dxa"/>
            <w:shd w:val="clear" w:color="auto" w:fill="CAEDFB" w:themeFill="accent4" w:themeFillTint="33"/>
          </w:tcPr>
          <w:p w14:paraId="20945051" w14:textId="77777777" w:rsidR="00953A83" w:rsidRDefault="00953A83" w:rsidP="00953A83">
            <w:pPr>
              <w:tabs>
                <w:tab w:val="left" w:pos="2694"/>
              </w:tabs>
            </w:pPr>
            <w:r>
              <w:t xml:space="preserve">(a)(5) </w:t>
            </w:r>
          </w:p>
          <w:p w14:paraId="74D9E51A" w14:textId="64C65B54" w:rsidR="00953A83" w:rsidRPr="00334D2D" w:rsidRDefault="00DC05CC" w:rsidP="00953A83">
            <w:pPr>
              <w:tabs>
                <w:tab w:val="left" w:pos="2694"/>
              </w:tabs>
              <w:ind w:left="708"/>
            </w:pPr>
            <w:r>
              <w:t xml:space="preserve">En generell </w:t>
            </w:r>
            <w:r w:rsidR="006B769B">
              <w:t>b</w:t>
            </w:r>
            <w:r w:rsidR="00953A83">
              <w:t xml:space="preserve">eskrivelse av antall og kategorier av personell, samt systemet som er etablert for å sikre tilgjengelighet av slikt personell </w:t>
            </w:r>
            <w:r w:rsidR="008B0518">
              <w:t xml:space="preserve">i henhold til </w:t>
            </w:r>
            <w:r w:rsidR="00953A83" w:rsidRPr="00E84CFB">
              <w:rPr>
                <w:b/>
                <w:bCs/>
              </w:rPr>
              <w:t>IS.I.OR.240</w:t>
            </w:r>
          </w:p>
        </w:tc>
        <w:tc>
          <w:tcPr>
            <w:tcW w:w="4909" w:type="dxa"/>
            <w:shd w:val="clear" w:color="auto" w:fill="CAEDFB" w:themeFill="accent4" w:themeFillTint="33"/>
          </w:tcPr>
          <w:p w14:paraId="663700B1" w14:textId="77777777" w:rsidR="00953A83" w:rsidRPr="00334D2D" w:rsidRDefault="00953A83" w:rsidP="00953A83">
            <w:pPr>
              <w:tabs>
                <w:tab w:val="left" w:pos="2694"/>
              </w:tabs>
            </w:pPr>
          </w:p>
        </w:tc>
      </w:tr>
      <w:tr w:rsidR="00953A83" w:rsidRPr="00334D2D" w14:paraId="27E5B704" w14:textId="77777777" w:rsidTr="650F04E2">
        <w:trPr>
          <w:cantSplit/>
        </w:trPr>
        <w:tc>
          <w:tcPr>
            <w:tcW w:w="1430" w:type="dxa"/>
            <w:vMerge/>
            <w:vAlign w:val="center"/>
          </w:tcPr>
          <w:p w14:paraId="301670FD" w14:textId="77777777" w:rsidR="00953A83" w:rsidRPr="00334D2D" w:rsidRDefault="00953A83" w:rsidP="00953A83">
            <w:pPr>
              <w:tabs>
                <w:tab w:val="left" w:pos="2694"/>
              </w:tabs>
            </w:pPr>
          </w:p>
        </w:tc>
        <w:tc>
          <w:tcPr>
            <w:tcW w:w="8995" w:type="dxa"/>
            <w:shd w:val="clear" w:color="auto" w:fill="CAEDFB" w:themeFill="accent4" w:themeFillTint="33"/>
          </w:tcPr>
          <w:p w14:paraId="67F96536" w14:textId="77777777" w:rsidR="00953A83" w:rsidRDefault="00953A83" w:rsidP="00953A83">
            <w:pPr>
              <w:tabs>
                <w:tab w:val="left" w:pos="2694"/>
              </w:tabs>
            </w:pPr>
            <w:r>
              <w:t xml:space="preserve">(a)(6) </w:t>
            </w:r>
          </w:p>
          <w:p w14:paraId="65ACB782" w14:textId="052DBBE1" w:rsidR="00953A83" w:rsidRPr="00334D2D" w:rsidRDefault="00387E23" w:rsidP="650F04E2">
            <w:pPr>
              <w:tabs>
                <w:tab w:val="left" w:pos="2694"/>
              </w:tabs>
              <w:ind w:left="708"/>
            </w:pPr>
            <w:r w:rsidRPr="00387E23">
              <w:t>tittel/titler, navn, plikter, ansvar og myndighet for nøkkelpersonene som er ansvarlige for gjennomføringen av punkt</w:t>
            </w:r>
            <w:r w:rsidRPr="00387E23" w:rsidDel="00387E23">
              <w:t xml:space="preserve"> </w:t>
            </w:r>
            <w:r w:rsidR="00953A83" w:rsidRPr="650F04E2">
              <w:rPr>
                <w:b/>
                <w:bCs/>
              </w:rPr>
              <w:t>IS.I.OR.200</w:t>
            </w:r>
            <w:r w:rsidR="00953A83">
              <w:t>, inkludert personen</w:t>
            </w:r>
            <w:r w:rsidR="00750049">
              <w:t xml:space="preserve"> eller personene som er ansvarlig for overvåkning av samsvar (</w:t>
            </w:r>
            <w:proofErr w:type="spellStart"/>
            <w:r w:rsidR="00750049">
              <w:t>compliance</w:t>
            </w:r>
            <w:proofErr w:type="spellEnd"/>
            <w:r w:rsidR="00750049">
              <w:t xml:space="preserve"> </w:t>
            </w:r>
            <w:proofErr w:type="spellStart"/>
            <w:r w:rsidR="00750049">
              <w:t>monitoring</w:t>
            </w:r>
            <w:proofErr w:type="spellEnd"/>
            <w:r w:rsidR="00750049">
              <w:t xml:space="preserve"> </w:t>
            </w:r>
            <w:proofErr w:type="spellStart"/>
            <w:r w:rsidR="00750049">
              <w:t>function</w:t>
            </w:r>
            <w:proofErr w:type="spellEnd"/>
            <w:r w:rsidR="00750049">
              <w:t>)</w:t>
            </w:r>
            <w:r w:rsidR="00D704F6">
              <w:t xml:space="preserve"> som nevnt i </w:t>
            </w:r>
            <w:r w:rsidR="4D288848" w:rsidRPr="650F04E2">
              <w:rPr>
                <w:b/>
                <w:bCs/>
              </w:rPr>
              <w:t>IS.I.OR.200(a)(12)</w:t>
            </w:r>
            <w:r w:rsidR="00953A83">
              <w:t>.</w:t>
            </w:r>
          </w:p>
        </w:tc>
        <w:tc>
          <w:tcPr>
            <w:tcW w:w="4909" w:type="dxa"/>
            <w:shd w:val="clear" w:color="auto" w:fill="CAEDFB" w:themeFill="accent4" w:themeFillTint="33"/>
          </w:tcPr>
          <w:p w14:paraId="2E08EFD6" w14:textId="77777777" w:rsidR="00953A83" w:rsidRPr="00334D2D" w:rsidRDefault="00953A83" w:rsidP="00953A83">
            <w:pPr>
              <w:tabs>
                <w:tab w:val="left" w:pos="2694"/>
              </w:tabs>
            </w:pPr>
          </w:p>
        </w:tc>
      </w:tr>
      <w:tr w:rsidR="00953A83" w:rsidRPr="00334D2D" w14:paraId="52F06B65" w14:textId="77777777" w:rsidTr="650F04E2">
        <w:trPr>
          <w:cantSplit/>
        </w:trPr>
        <w:tc>
          <w:tcPr>
            <w:tcW w:w="1430" w:type="dxa"/>
            <w:vMerge/>
            <w:vAlign w:val="center"/>
          </w:tcPr>
          <w:p w14:paraId="32AAD8DD" w14:textId="77777777" w:rsidR="00953A83" w:rsidRPr="00334D2D" w:rsidRDefault="00953A83" w:rsidP="00953A83">
            <w:pPr>
              <w:tabs>
                <w:tab w:val="left" w:pos="2694"/>
              </w:tabs>
            </w:pPr>
          </w:p>
        </w:tc>
        <w:tc>
          <w:tcPr>
            <w:tcW w:w="8995" w:type="dxa"/>
            <w:shd w:val="clear" w:color="auto" w:fill="CAEDFB" w:themeFill="accent4" w:themeFillTint="33"/>
          </w:tcPr>
          <w:p w14:paraId="5F4E69E7" w14:textId="77777777" w:rsidR="00953A83" w:rsidRDefault="00953A83" w:rsidP="00953A83">
            <w:pPr>
              <w:tabs>
                <w:tab w:val="left" w:pos="2694"/>
              </w:tabs>
            </w:pPr>
            <w:r>
              <w:t xml:space="preserve">(a)(7) </w:t>
            </w:r>
          </w:p>
          <w:p w14:paraId="5E41B808" w14:textId="468D68C0" w:rsidR="00953A83" w:rsidRPr="00334D2D" w:rsidRDefault="00953A83" w:rsidP="00953A83">
            <w:pPr>
              <w:tabs>
                <w:tab w:val="left" w:pos="2694"/>
              </w:tabs>
              <w:ind w:left="708"/>
            </w:pPr>
            <w:r>
              <w:t xml:space="preserve">Et organisasjonskart som viser ansvarslinjer mellom personene nevnt i punkt </w:t>
            </w:r>
            <w:r w:rsidR="00B9529F">
              <w:t>(</w:t>
            </w:r>
            <w:r>
              <w:t>2</w:t>
            </w:r>
            <w:r w:rsidR="00B9529F">
              <w:t>)</w:t>
            </w:r>
            <w:r w:rsidR="002B4599">
              <w:t xml:space="preserve"> og (</w:t>
            </w:r>
            <w:r>
              <w:t>6</w:t>
            </w:r>
            <w:r w:rsidR="002B4599">
              <w:t>)</w:t>
            </w:r>
            <w:r>
              <w:t xml:space="preserve"> over </w:t>
            </w:r>
          </w:p>
        </w:tc>
        <w:tc>
          <w:tcPr>
            <w:tcW w:w="4909" w:type="dxa"/>
            <w:shd w:val="clear" w:color="auto" w:fill="CAEDFB" w:themeFill="accent4" w:themeFillTint="33"/>
          </w:tcPr>
          <w:p w14:paraId="1A3DE114" w14:textId="77777777" w:rsidR="00953A83" w:rsidRPr="00334D2D" w:rsidRDefault="00953A83" w:rsidP="00953A83">
            <w:pPr>
              <w:tabs>
                <w:tab w:val="left" w:pos="2694"/>
              </w:tabs>
            </w:pPr>
          </w:p>
        </w:tc>
      </w:tr>
      <w:tr w:rsidR="00953A83" w:rsidRPr="00334D2D" w14:paraId="70423138" w14:textId="77777777" w:rsidTr="650F04E2">
        <w:trPr>
          <w:cantSplit/>
        </w:trPr>
        <w:tc>
          <w:tcPr>
            <w:tcW w:w="1430" w:type="dxa"/>
            <w:vMerge/>
            <w:vAlign w:val="center"/>
          </w:tcPr>
          <w:p w14:paraId="6C54E532" w14:textId="77777777" w:rsidR="00953A83" w:rsidRPr="00334D2D" w:rsidRDefault="00953A83" w:rsidP="00953A83">
            <w:pPr>
              <w:tabs>
                <w:tab w:val="left" w:pos="2694"/>
              </w:tabs>
            </w:pPr>
          </w:p>
        </w:tc>
        <w:tc>
          <w:tcPr>
            <w:tcW w:w="8995" w:type="dxa"/>
            <w:shd w:val="clear" w:color="auto" w:fill="CAEDFB" w:themeFill="accent4" w:themeFillTint="33"/>
          </w:tcPr>
          <w:p w14:paraId="0FE99166" w14:textId="77777777" w:rsidR="00953A83" w:rsidRDefault="00953A83" w:rsidP="00953A83">
            <w:pPr>
              <w:tabs>
                <w:tab w:val="left" w:pos="2694"/>
              </w:tabs>
            </w:pPr>
            <w:r>
              <w:t xml:space="preserve">(a)(8) </w:t>
            </w:r>
          </w:p>
          <w:p w14:paraId="0E7BAEA1" w14:textId="20068BE6" w:rsidR="00953A83" w:rsidRPr="00334D2D" w:rsidRDefault="00953A83" w:rsidP="00953A83">
            <w:pPr>
              <w:tabs>
                <w:tab w:val="left" w:pos="2694"/>
              </w:tabs>
              <w:ind w:left="708"/>
            </w:pPr>
            <w:r>
              <w:t xml:space="preserve">Beskrivelse av </w:t>
            </w:r>
            <w:r w:rsidR="499851D1">
              <w:t>intern</w:t>
            </w:r>
            <w:r>
              <w:t xml:space="preserve">rapporteringssystemet </w:t>
            </w:r>
            <w:r w:rsidR="00A334C3">
              <w:t xml:space="preserve">nevnt i </w:t>
            </w:r>
            <w:r w:rsidRPr="650F04E2">
              <w:rPr>
                <w:b/>
                <w:bCs/>
              </w:rPr>
              <w:t>IS.I.OR.215</w:t>
            </w:r>
          </w:p>
        </w:tc>
        <w:tc>
          <w:tcPr>
            <w:tcW w:w="4909" w:type="dxa"/>
            <w:shd w:val="clear" w:color="auto" w:fill="CAEDFB" w:themeFill="accent4" w:themeFillTint="33"/>
          </w:tcPr>
          <w:p w14:paraId="39E70F49" w14:textId="77777777" w:rsidR="00953A83" w:rsidRPr="00334D2D" w:rsidRDefault="00953A83" w:rsidP="00953A83">
            <w:pPr>
              <w:tabs>
                <w:tab w:val="left" w:pos="2694"/>
              </w:tabs>
            </w:pPr>
          </w:p>
        </w:tc>
      </w:tr>
      <w:tr w:rsidR="00953A83" w:rsidRPr="00334D2D" w14:paraId="79AB9008" w14:textId="77777777" w:rsidTr="650F04E2">
        <w:trPr>
          <w:cantSplit/>
        </w:trPr>
        <w:tc>
          <w:tcPr>
            <w:tcW w:w="1430" w:type="dxa"/>
            <w:vMerge/>
            <w:vAlign w:val="center"/>
          </w:tcPr>
          <w:p w14:paraId="3667190C" w14:textId="77777777" w:rsidR="00953A83" w:rsidRPr="00334D2D" w:rsidRDefault="00953A83" w:rsidP="00953A83">
            <w:pPr>
              <w:tabs>
                <w:tab w:val="left" w:pos="2694"/>
              </w:tabs>
            </w:pPr>
          </w:p>
        </w:tc>
        <w:tc>
          <w:tcPr>
            <w:tcW w:w="8995" w:type="dxa"/>
            <w:shd w:val="clear" w:color="auto" w:fill="CAEDFB" w:themeFill="accent4" w:themeFillTint="33"/>
          </w:tcPr>
          <w:p w14:paraId="2C38A3D3" w14:textId="77777777" w:rsidR="00953A83" w:rsidRDefault="00953A83" w:rsidP="00953A83">
            <w:pPr>
              <w:tabs>
                <w:tab w:val="left" w:pos="2694"/>
              </w:tabs>
            </w:pPr>
            <w:r>
              <w:t xml:space="preserve">(a)(9) </w:t>
            </w:r>
          </w:p>
          <w:p w14:paraId="13F18D8D" w14:textId="77777777" w:rsidR="00953A83" w:rsidRDefault="00953A83" w:rsidP="00953A83">
            <w:pPr>
              <w:tabs>
                <w:tab w:val="left" w:pos="2694"/>
              </w:tabs>
              <w:ind w:left="360"/>
            </w:pPr>
            <w:r>
              <w:t>Prosedyrene som spesifiserer hvordan organisasjonen sikrer samsvar med kravene i Part IS, og da spesielt:</w:t>
            </w:r>
          </w:p>
          <w:p w14:paraId="34D02108" w14:textId="16D2ECDA" w:rsidR="00953A83" w:rsidRDefault="00953A83" w:rsidP="00953A83">
            <w:pPr>
              <w:pStyle w:val="Listeavsnitt"/>
              <w:numPr>
                <w:ilvl w:val="0"/>
                <w:numId w:val="2"/>
              </w:numPr>
              <w:tabs>
                <w:tab w:val="left" w:pos="2694"/>
              </w:tabs>
            </w:pPr>
            <w:r>
              <w:t>Dokumentasjonen referert</w:t>
            </w:r>
            <w:r w:rsidR="00420029">
              <w:t xml:space="preserve"> til</w:t>
            </w:r>
            <w:r>
              <w:t xml:space="preserve"> i </w:t>
            </w:r>
            <w:r w:rsidRPr="00615D7F">
              <w:rPr>
                <w:b/>
                <w:bCs/>
              </w:rPr>
              <w:t>IS.I.OR.200(c)</w:t>
            </w:r>
          </w:p>
          <w:p w14:paraId="2F8FFC56" w14:textId="09D03BDA" w:rsidR="00953A83" w:rsidRDefault="00953A83" w:rsidP="00953A83">
            <w:pPr>
              <w:pStyle w:val="Listeavsnitt"/>
              <w:numPr>
                <w:ilvl w:val="0"/>
                <w:numId w:val="2"/>
              </w:numPr>
              <w:tabs>
                <w:tab w:val="left" w:pos="2694"/>
              </w:tabs>
            </w:pPr>
            <w:r>
              <w:t>Prosedyren</w:t>
            </w:r>
            <w:r w:rsidR="001B6382">
              <w:t>e</w:t>
            </w:r>
            <w:r>
              <w:t xml:space="preserve"> som definerer hvordan kontrakterte tjenester håndteres</w:t>
            </w:r>
            <w:r w:rsidR="00F922C3">
              <w:t>,</w:t>
            </w:r>
            <w:r w:rsidR="001B6382">
              <w:t xml:space="preserve"> som nevnt i </w:t>
            </w:r>
            <w:r w:rsidRPr="650F04E2">
              <w:rPr>
                <w:b/>
                <w:bCs/>
              </w:rPr>
              <w:t>IS.I.O</w:t>
            </w:r>
            <w:r w:rsidR="6E24C7A5" w:rsidRPr="650F04E2">
              <w:rPr>
                <w:b/>
                <w:bCs/>
              </w:rPr>
              <w:t>R</w:t>
            </w:r>
            <w:r w:rsidRPr="650F04E2">
              <w:rPr>
                <w:b/>
                <w:bCs/>
              </w:rPr>
              <w:t>.200</w:t>
            </w:r>
            <w:r w:rsidR="58355880" w:rsidRPr="650F04E2">
              <w:rPr>
                <w:b/>
                <w:bCs/>
              </w:rPr>
              <w:t>(a)</w:t>
            </w:r>
            <w:r w:rsidRPr="650F04E2">
              <w:rPr>
                <w:b/>
                <w:bCs/>
              </w:rPr>
              <w:t>(9)</w:t>
            </w:r>
          </w:p>
          <w:p w14:paraId="41D02D35" w14:textId="5856C888" w:rsidR="00953A83" w:rsidRPr="00334D2D" w:rsidRDefault="00953A83" w:rsidP="00953A83">
            <w:pPr>
              <w:pStyle w:val="Listeavsnitt"/>
              <w:numPr>
                <w:ilvl w:val="0"/>
                <w:numId w:val="2"/>
              </w:numPr>
              <w:tabs>
                <w:tab w:val="left" w:pos="2694"/>
              </w:tabs>
            </w:pPr>
            <w:r>
              <w:t>Revisjonsprosedyren for ISMM</w:t>
            </w:r>
            <w:r w:rsidR="0093553C">
              <w:t xml:space="preserve"> som nevnt i bo</w:t>
            </w:r>
            <w:r w:rsidR="00F922C3">
              <w:t>ks</w:t>
            </w:r>
            <w:r w:rsidR="0093553C">
              <w:t>tav (c)</w:t>
            </w:r>
          </w:p>
        </w:tc>
        <w:tc>
          <w:tcPr>
            <w:tcW w:w="4909" w:type="dxa"/>
            <w:shd w:val="clear" w:color="auto" w:fill="CAEDFB" w:themeFill="accent4" w:themeFillTint="33"/>
          </w:tcPr>
          <w:p w14:paraId="6A632C68" w14:textId="77777777" w:rsidR="00953A83" w:rsidRPr="00334D2D" w:rsidRDefault="00953A83" w:rsidP="00953A83">
            <w:pPr>
              <w:tabs>
                <w:tab w:val="left" w:pos="2694"/>
              </w:tabs>
            </w:pPr>
          </w:p>
        </w:tc>
      </w:tr>
      <w:tr w:rsidR="00953A83" w:rsidRPr="00334D2D" w14:paraId="5B4C5FBC" w14:textId="77777777" w:rsidTr="650F04E2">
        <w:trPr>
          <w:cantSplit/>
        </w:trPr>
        <w:tc>
          <w:tcPr>
            <w:tcW w:w="1430" w:type="dxa"/>
            <w:vMerge/>
            <w:vAlign w:val="center"/>
          </w:tcPr>
          <w:p w14:paraId="45C18595" w14:textId="77777777" w:rsidR="00953A83" w:rsidRPr="00334D2D" w:rsidRDefault="00953A83" w:rsidP="00953A83">
            <w:pPr>
              <w:tabs>
                <w:tab w:val="left" w:pos="2694"/>
              </w:tabs>
            </w:pPr>
          </w:p>
        </w:tc>
        <w:tc>
          <w:tcPr>
            <w:tcW w:w="8995" w:type="dxa"/>
            <w:shd w:val="clear" w:color="auto" w:fill="CAEDFB" w:themeFill="accent4" w:themeFillTint="33"/>
          </w:tcPr>
          <w:p w14:paraId="2C2E7694" w14:textId="77777777" w:rsidR="00953A83" w:rsidRDefault="00953A83" w:rsidP="00953A83">
            <w:pPr>
              <w:tabs>
                <w:tab w:val="left" w:pos="2694"/>
              </w:tabs>
            </w:pPr>
            <w:r>
              <w:t xml:space="preserve">(a)(10) </w:t>
            </w:r>
          </w:p>
          <w:p w14:paraId="0D87D041" w14:textId="57782729" w:rsidR="00953A83" w:rsidRPr="00334D2D" w:rsidRDefault="00BB3451" w:rsidP="00953A83">
            <w:pPr>
              <w:tabs>
                <w:tab w:val="left" w:pos="2694"/>
              </w:tabs>
              <w:ind w:left="708"/>
            </w:pPr>
            <w:r>
              <w:t xml:space="preserve">Opplysninger </w:t>
            </w:r>
            <w:r w:rsidR="00BA71D8">
              <w:t xml:space="preserve">om </w:t>
            </w:r>
            <w:r w:rsidR="00953A83">
              <w:t xml:space="preserve">eventuelle </w:t>
            </w:r>
            <w:r w:rsidR="009625AE">
              <w:t>godkje</w:t>
            </w:r>
            <w:r w:rsidR="00D70DCB">
              <w:t>nte alternative måter å oppnå samsvar på (</w:t>
            </w:r>
            <w:proofErr w:type="spellStart"/>
            <w:r w:rsidR="00953A83">
              <w:t>AltMoC’er</w:t>
            </w:r>
            <w:proofErr w:type="spellEnd"/>
            <w:r w:rsidR="00D70DCB">
              <w:t>)</w:t>
            </w:r>
          </w:p>
        </w:tc>
        <w:tc>
          <w:tcPr>
            <w:tcW w:w="4909" w:type="dxa"/>
            <w:shd w:val="clear" w:color="auto" w:fill="CAEDFB" w:themeFill="accent4" w:themeFillTint="33"/>
          </w:tcPr>
          <w:p w14:paraId="2E4D01D7" w14:textId="77777777" w:rsidR="00953A83" w:rsidRPr="00334D2D" w:rsidRDefault="00953A83" w:rsidP="00953A83">
            <w:pPr>
              <w:tabs>
                <w:tab w:val="left" w:pos="2694"/>
              </w:tabs>
            </w:pPr>
          </w:p>
        </w:tc>
      </w:tr>
      <w:tr w:rsidR="00953A83" w:rsidRPr="00334D2D" w14:paraId="07CAAD7E" w14:textId="77777777" w:rsidTr="650F04E2">
        <w:trPr>
          <w:cantSplit/>
        </w:trPr>
        <w:tc>
          <w:tcPr>
            <w:tcW w:w="1430" w:type="dxa"/>
            <w:vMerge/>
            <w:vAlign w:val="center"/>
          </w:tcPr>
          <w:p w14:paraId="07A5B569" w14:textId="77777777" w:rsidR="00953A83" w:rsidRPr="00334D2D" w:rsidRDefault="00953A83" w:rsidP="00953A83">
            <w:pPr>
              <w:tabs>
                <w:tab w:val="left" w:pos="2694"/>
              </w:tabs>
            </w:pPr>
          </w:p>
        </w:tc>
        <w:tc>
          <w:tcPr>
            <w:tcW w:w="8995" w:type="dxa"/>
            <w:shd w:val="clear" w:color="auto" w:fill="CAEDFB" w:themeFill="accent4" w:themeFillTint="33"/>
          </w:tcPr>
          <w:p w14:paraId="340DEFB6" w14:textId="12BFF21A" w:rsidR="00327E40" w:rsidRDefault="00327E40" w:rsidP="00327E40">
            <w:pPr>
              <w:tabs>
                <w:tab w:val="left" w:pos="2694"/>
              </w:tabs>
            </w:pPr>
            <w:r>
              <w:t xml:space="preserve"> (c)</w:t>
            </w:r>
          </w:p>
          <w:p w14:paraId="10F3E6D3" w14:textId="2A760246" w:rsidR="00953A83" w:rsidRDefault="00F977AA" w:rsidP="00953A83">
            <w:pPr>
              <w:tabs>
                <w:tab w:val="left" w:pos="2694"/>
              </w:tabs>
              <w:ind w:left="708"/>
            </w:pPr>
            <w:r>
              <w:t>Prosedyre for endrings</w:t>
            </w:r>
            <w:r w:rsidR="004B5165">
              <w:t>håndtering av ISMM</w:t>
            </w:r>
            <w:r w:rsidR="00327E40">
              <w:t xml:space="preserve">. </w:t>
            </w:r>
          </w:p>
        </w:tc>
        <w:tc>
          <w:tcPr>
            <w:tcW w:w="4909" w:type="dxa"/>
            <w:shd w:val="clear" w:color="auto" w:fill="CAEDFB" w:themeFill="accent4" w:themeFillTint="33"/>
          </w:tcPr>
          <w:p w14:paraId="77EADA6E" w14:textId="5280A10B" w:rsidR="00953A83" w:rsidRPr="00325233" w:rsidRDefault="003944A8" w:rsidP="00953A83">
            <w:pPr>
              <w:tabs>
                <w:tab w:val="left" w:pos="2694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Denne </w:t>
            </w:r>
            <w:r w:rsidR="006668A2">
              <w:rPr>
                <w:b/>
                <w:bCs/>
              </w:rPr>
              <w:t>s</w:t>
            </w:r>
            <w:r w:rsidR="00D313D7" w:rsidRPr="00325233">
              <w:rPr>
                <w:b/>
                <w:bCs/>
              </w:rPr>
              <w:t>kal vedlegges søknaden i sin he</w:t>
            </w:r>
            <w:r w:rsidR="00325233" w:rsidRPr="00325233">
              <w:rPr>
                <w:b/>
                <w:bCs/>
              </w:rPr>
              <w:t>lhet</w:t>
            </w:r>
          </w:p>
        </w:tc>
      </w:tr>
    </w:tbl>
    <w:p w14:paraId="706901D1" w14:textId="54B1501E" w:rsidR="003B1750" w:rsidRDefault="003B1750"/>
    <w:p w14:paraId="315B685D" w14:textId="77777777" w:rsidR="003B1750" w:rsidRDefault="003B1750">
      <w:r>
        <w:br w:type="page"/>
      </w:r>
    </w:p>
    <w:p w14:paraId="6FB589C3" w14:textId="49E3E84B" w:rsidR="00AA3129" w:rsidRPr="00A04901" w:rsidRDefault="00AA3129" w:rsidP="00AA3129">
      <w:pPr>
        <w:pStyle w:val="Bildetekst"/>
        <w:keepNext/>
        <w:rPr>
          <w:b/>
          <w:bCs/>
          <w:sz w:val="24"/>
          <w:szCs w:val="24"/>
        </w:rPr>
      </w:pPr>
      <w:r w:rsidRPr="00A04901">
        <w:rPr>
          <w:b/>
          <w:bCs/>
          <w:sz w:val="24"/>
          <w:szCs w:val="24"/>
        </w:rPr>
        <w:lastRenderedPageBreak/>
        <w:t>Ta</w:t>
      </w:r>
      <w:r w:rsidR="008A2A5C" w:rsidRPr="00A04901">
        <w:rPr>
          <w:b/>
          <w:bCs/>
          <w:sz w:val="24"/>
          <w:szCs w:val="24"/>
        </w:rPr>
        <w:t>bell</w:t>
      </w:r>
      <w:r w:rsidRPr="00A04901">
        <w:rPr>
          <w:b/>
          <w:bCs/>
          <w:sz w:val="24"/>
          <w:szCs w:val="24"/>
        </w:rPr>
        <w:t xml:space="preserve"> </w:t>
      </w:r>
      <w:r w:rsidRPr="00A04901">
        <w:rPr>
          <w:b/>
          <w:bCs/>
          <w:sz w:val="24"/>
          <w:szCs w:val="24"/>
        </w:rPr>
        <w:fldChar w:fldCharType="begin"/>
      </w:r>
      <w:r w:rsidRPr="00A04901">
        <w:rPr>
          <w:b/>
          <w:bCs/>
          <w:sz w:val="24"/>
          <w:szCs w:val="24"/>
        </w:rPr>
        <w:instrText xml:space="preserve"> SEQ Table \* ARABIC </w:instrText>
      </w:r>
      <w:r w:rsidRPr="00A04901">
        <w:rPr>
          <w:b/>
          <w:bCs/>
          <w:sz w:val="24"/>
          <w:szCs w:val="24"/>
        </w:rPr>
        <w:fldChar w:fldCharType="separate"/>
      </w:r>
      <w:r w:rsidRPr="00A04901">
        <w:rPr>
          <w:b/>
          <w:bCs/>
          <w:noProof/>
          <w:sz w:val="24"/>
          <w:szCs w:val="24"/>
        </w:rPr>
        <w:t>2</w:t>
      </w:r>
      <w:r w:rsidRPr="00A04901">
        <w:rPr>
          <w:b/>
          <w:bCs/>
          <w:sz w:val="24"/>
          <w:szCs w:val="24"/>
        </w:rPr>
        <w:fldChar w:fldCharType="end"/>
      </w:r>
      <w:r w:rsidRPr="00A04901">
        <w:rPr>
          <w:b/>
          <w:bCs/>
          <w:sz w:val="24"/>
          <w:szCs w:val="24"/>
        </w:rPr>
        <w:t xml:space="preserve"> Samsvarsoversikt Part-IS</w:t>
      </w: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1470"/>
        <w:gridCol w:w="881"/>
        <w:gridCol w:w="8024"/>
        <w:gridCol w:w="5013"/>
      </w:tblGrid>
      <w:tr w:rsidR="003B1750" w:rsidRPr="003B1750" w14:paraId="07A66952" w14:textId="77777777" w:rsidTr="650F04E2">
        <w:trPr>
          <w:jc w:val="center"/>
        </w:trPr>
        <w:tc>
          <w:tcPr>
            <w:tcW w:w="1470" w:type="dxa"/>
            <w:vAlign w:val="center"/>
          </w:tcPr>
          <w:p w14:paraId="6DB65F7F" w14:textId="5F8E1DC7" w:rsidR="003B1750" w:rsidRPr="003B1750" w:rsidRDefault="003B1750" w:rsidP="003B1750">
            <w:pPr>
              <w:jc w:val="center"/>
              <w:rPr>
                <w:b/>
                <w:bCs/>
                <w:sz w:val="28"/>
                <w:szCs w:val="28"/>
              </w:rPr>
            </w:pPr>
            <w:r w:rsidRPr="003B1750">
              <w:rPr>
                <w:b/>
                <w:bCs/>
                <w:sz w:val="28"/>
                <w:szCs w:val="28"/>
              </w:rPr>
              <w:t>IR</w:t>
            </w:r>
          </w:p>
        </w:tc>
        <w:tc>
          <w:tcPr>
            <w:tcW w:w="881" w:type="dxa"/>
            <w:vAlign w:val="center"/>
          </w:tcPr>
          <w:p w14:paraId="087A7131" w14:textId="77777777" w:rsidR="003B1750" w:rsidRPr="003B1750" w:rsidRDefault="003B1750" w:rsidP="003B175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24" w:type="dxa"/>
          </w:tcPr>
          <w:p w14:paraId="5C55278F" w14:textId="032C3DC4" w:rsidR="003B1750" w:rsidRPr="003B1750" w:rsidRDefault="003B1750">
            <w:pPr>
              <w:rPr>
                <w:b/>
                <w:bCs/>
                <w:sz w:val="28"/>
                <w:szCs w:val="28"/>
              </w:rPr>
            </w:pPr>
            <w:r w:rsidRPr="003B1750">
              <w:rPr>
                <w:b/>
                <w:bCs/>
                <w:sz w:val="28"/>
                <w:szCs w:val="28"/>
              </w:rPr>
              <w:t>Krav</w:t>
            </w:r>
          </w:p>
        </w:tc>
        <w:tc>
          <w:tcPr>
            <w:tcW w:w="5013" w:type="dxa"/>
          </w:tcPr>
          <w:p w14:paraId="49DB9315" w14:textId="1699AE6A" w:rsidR="003B1750" w:rsidRPr="003B1750" w:rsidRDefault="003B1750">
            <w:pPr>
              <w:rPr>
                <w:b/>
                <w:bCs/>
                <w:sz w:val="28"/>
                <w:szCs w:val="28"/>
              </w:rPr>
            </w:pPr>
            <w:r w:rsidRPr="003B1750">
              <w:rPr>
                <w:b/>
                <w:bCs/>
                <w:sz w:val="28"/>
                <w:szCs w:val="28"/>
              </w:rPr>
              <w:t>Referanse</w:t>
            </w:r>
          </w:p>
        </w:tc>
      </w:tr>
      <w:tr w:rsidR="00404110" w14:paraId="0266E08C" w14:textId="77777777" w:rsidTr="650F04E2">
        <w:trPr>
          <w:jc w:val="center"/>
        </w:trPr>
        <w:tc>
          <w:tcPr>
            <w:tcW w:w="1470" w:type="dxa"/>
            <w:vMerge w:val="restart"/>
            <w:vAlign w:val="center"/>
          </w:tcPr>
          <w:p w14:paraId="1623165B" w14:textId="7D319BAC" w:rsidR="00404110" w:rsidRDefault="00404110" w:rsidP="003B1750">
            <w:pPr>
              <w:jc w:val="center"/>
            </w:pPr>
            <w:r w:rsidRPr="003B1750">
              <w:t>IS.</w:t>
            </w:r>
            <w:r>
              <w:t>I</w:t>
            </w:r>
            <w:r w:rsidRPr="003B1750">
              <w:t>.OR.200</w:t>
            </w:r>
          </w:p>
        </w:tc>
        <w:tc>
          <w:tcPr>
            <w:tcW w:w="881" w:type="dxa"/>
            <w:vAlign w:val="center"/>
          </w:tcPr>
          <w:p w14:paraId="5B1D50F0" w14:textId="3F7F77C6" w:rsidR="00404110" w:rsidRDefault="00404110" w:rsidP="003B1750">
            <w:pPr>
              <w:jc w:val="center"/>
            </w:pPr>
            <w:r>
              <w:t>(a)(1)</w:t>
            </w:r>
          </w:p>
        </w:tc>
        <w:tc>
          <w:tcPr>
            <w:tcW w:w="8024" w:type="dxa"/>
          </w:tcPr>
          <w:p w14:paraId="0EB6E3A7" w14:textId="4FA67960" w:rsidR="00404110" w:rsidRDefault="00404110">
            <w:r>
              <w:t xml:space="preserve">Information </w:t>
            </w:r>
            <w:proofErr w:type="spellStart"/>
            <w:r>
              <w:t>security</w:t>
            </w:r>
            <w:proofErr w:type="spellEnd"/>
            <w:r>
              <w:t xml:space="preserve"> policy</w:t>
            </w:r>
          </w:p>
        </w:tc>
        <w:tc>
          <w:tcPr>
            <w:tcW w:w="5013" w:type="dxa"/>
          </w:tcPr>
          <w:p w14:paraId="194836B1" w14:textId="77777777" w:rsidR="00404110" w:rsidRDefault="00404110"/>
        </w:tc>
      </w:tr>
      <w:tr w:rsidR="00404110" w14:paraId="22776CB9" w14:textId="77777777" w:rsidTr="650F04E2">
        <w:trPr>
          <w:jc w:val="center"/>
        </w:trPr>
        <w:tc>
          <w:tcPr>
            <w:tcW w:w="1470" w:type="dxa"/>
            <w:vMerge/>
            <w:vAlign w:val="center"/>
          </w:tcPr>
          <w:p w14:paraId="3FC10FD6" w14:textId="77777777" w:rsidR="00404110" w:rsidRDefault="00404110" w:rsidP="003B1750">
            <w:pPr>
              <w:jc w:val="center"/>
            </w:pPr>
          </w:p>
        </w:tc>
        <w:tc>
          <w:tcPr>
            <w:tcW w:w="881" w:type="dxa"/>
            <w:vAlign w:val="center"/>
          </w:tcPr>
          <w:p w14:paraId="6C894854" w14:textId="39AE303F" w:rsidR="00404110" w:rsidRDefault="00404110" w:rsidP="003B1750">
            <w:pPr>
              <w:jc w:val="center"/>
            </w:pPr>
            <w:r>
              <w:t>(a)(6)</w:t>
            </w:r>
          </w:p>
        </w:tc>
        <w:tc>
          <w:tcPr>
            <w:tcW w:w="8024" w:type="dxa"/>
          </w:tcPr>
          <w:p w14:paraId="69A8A936" w14:textId="40A0CDF1" w:rsidR="00404110" w:rsidRDefault="00404110">
            <w:r>
              <w:t>Umiddelbar implementering av notifiserte tiltak fra myndighetene</w:t>
            </w:r>
          </w:p>
        </w:tc>
        <w:tc>
          <w:tcPr>
            <w:tcW w:w="5013" w:type="dxa"/>
          </w:tcPr>
          <w:p w14:paraId="06706FA3" w14:textId="77777777" w:rsidR="00404110" w:rsidRDefault="00404110"/>
        </w:tc>
      </w:tr>
      <w:tr w:rsidR="00404110" w14:paraId="20C60E45" w14:textId="77777777" w:rsidTr="650F04E2">
        <w:trPr>
          <w:jc w:val="center"/>
        </w:trPr>
        <w:tc>
          <w:tcPr>
            <w:tcW w:w="1470" w:type="dxa"/>
            <w:vMerge/>
            <w:vAlign w:val="center"/>
          </w:tcPr>
          <w:p w14:paraId="53D52250" w14:textId="77777777" w:rsidR="00404110" w:rsidRDefault="00404110" w:rsidP="00404110">
            <w:pPr>
              <w:jc w:val="center"/>
            </w:pPr>
          </w:p>
        </w:tc>
        <w:tc>
          <w:tcPr>
            <w:tcW w:w="881" w:type="dxa"/>
            <w:vAlign w:val="center"/>
          </w:tcPr>
          <w:p w14:paraId="32924AD4" w14:textId="6C4CC127" w:rsidR="00404110" w:rsidRDefault="00404110" w:rsidP="00404110">
            <w:pPr>
              <w:jc w:val="center"/>
            </w:pPr>
            <w:r>
              <w:t>(a)(12)</w:t>
            </w:r>
          </w:p>
        </w:tc>
        <w:tc>
          <w:tcPr>
            <w:tcW w:w="8024" w:type="dxa"/>
          </w:tcPr>
          <w:p w14:paraId="314D72D8" w14:textId="579AE3FC" w:rsidR="00404110" w:rsidRDefault="00404110" w:rsidP="00404110">
            <w:r>
              <w:t>Compliance monitorering av organisasjonens informasjons-sikkerhetssystem</w:t>
            </w:r>
          </w:p>
        </w:tc>
        <w:tc>
          <w:tcPr>
            <w:tcW w:w="5013" w:type="dxa"/>
          </w:tcPr>
          <w:p w14:paraId="033B9B6B" w14:textId="77777777" w:rsidR="00404110" w:rsidRDefault="00404110" w:rsidP="00404110"/>
        </w:tc>
      </w:tr>
      <w:tr w:rsidR="00404110" w14:paraId="7EB0A6F4" w14:textId="77777777" w:rsidTr="650F04E2">
        <w:trPr>
          <w:jc w:val="center"/>
        </w:trPr>
        <w:tc>
          <w:tcPr>
            <w:tcW w:w="1470" w:type="dxa"/>
            <w:vMerge/>
            <w:vAlign w:val="center"/>
          </w:tcPr>
          <w:p w14:paraId="70A031FF" w14:textId="77777777" w:rsidR="00404110" w:rsidRDefault="00404110" w:rsidP="00404110">
            <w:pPr>
              <w:jc w:val="center"/>
            </w:pPr>
          </w:p>
        </w:tc>
        <w:tc>
          <w:tcPr>
            <w:tcW w:w="881" w:type="dxa"/>
            <w:vAlign w:val="center"/>
          </w:tcPr>
          <w:p w14:paraId="4CAB003E" w14:textId="6C292D42" w:rsidR="00404110" w:rsidRDefault="00404110" w:rsidP="00404110">
            <w:pPr>
              <w:jc w:val="center"/>
            </w:pPr>
            <w:r>
              <w:t>(a)(13)</w:t>
            </w:r>
          </w:p>
        </w:tc>
        <w:tc>
          <w:tcPr>
            <w:tcW w:w="8024" w:type="dxa"/>
          </w:tcPr>
          <w:p w14:paraId="5735270F" w14:textId="31D6F24D" w:rsidR="00404110" w:rsidRDefault="00404110" w:rsidP="00404110">
            <w:r>
              <w:t>Konfidensialitetsbeskyttelse av eksterne rapporteringskilder</w:t>
            </w:r>
          </w:p>
        </w:tc>
        <w:tc>
          <w:tcPr>
            <w:tcW w:w="5013" w:type="dxa"/>
          </w:tcPr>
          <w:p w14:paraId="2D2850CE" w14:textId="77777777" w:rsidR="00404110" w:rsidRDefault="00404110" w:rsidP="00404110"/>
        </w:tc>
      </w:tr>
      <w:tr w:rsidR="00936B8B" w14:paraId="1F6E5AF5" w14:textId="77777777" w:rsidTr="650F04E2">
        <w:trPr>
          <w:jc w:val="center"/>
        </w:trPr>
        <w:tc>
          <w:tcPr>
            <w:tcW w:w="1470" w:type="dxa"/>
            <w:vMerge w:val="restart"/>
            <w:vAlign w:val="center"/>
          </w:tcPr>
          <w:p w14:paraId="09392D45" w14:textId="3B25E82D" w:rsidR="00936B8B" w:rsidRDefault="00936B8B" w:rsidP="00404110">
            <w:pPr>
              <w:jc w:val="center"/>
            </w:pPr>
            <w:r w:rsidRPr="003B1750">
              <w:t>IS.</w:t>
            </w:r>
            <w:r>
              <w:t>I</w:t>
            </w:r>
            <w:r w:rsidRPr="003B1750">
              <w:t>.OR.20</w:t>
            </w:r>
            <w:r>
              <w:t>5</w:t>
            </w:r>
          </w:p>
        </w:tc>
        <w:tc>
          <w:tcPr>
            <w:tcW w:w="881" w:type="dxa"/>
            <w:vAlign w:val="center"/>
          </w:tcPr>
          <w:p w14:paraId="718A6BA2" w14:textId="72F7C16E" w:rsidR="00936B8B" w:rsidRDefault="00936B8B" w:rsidP="00404110">
            <w:pPr>
              <w:jc w:val="center"/>
            </w:pPr>
            <w:r>
              <w:t>(a)</w:t>
            </w:r>
          </w:p>
        </w:tc>
        <w:tc>
          <w:tcPr>
            <w:tcW w:w="8024" w:type="dxa"/>
          </w:tcPr>
          <w:p w14:paraId="66500F33" w14:textId="02CB24F1" w:rsidR="00936B8B" w:rsidRDefault="19CE9C25" w:rsidP="00404110">
            <w:r>
              <w:t xml:space="preserve">Identifisering av alle sårbare </w:t>
            </w:r>
            <w:r w:rsidR="26617A0D">
              <w:t>elementer</w:t>
            </w:r>
            <w:r>
              <w:t xml:space="preserve"> i organisasjonen med hensyn til </w:t>
            </w:r>
            <w:r w:rsidR="397BE4B5">
              <w:t>informasjons</w:t>
            </w:r>
            <w:r>
              <w:t>sikkerhet slik som aktiviteter, fasiliteter</w:t>
            </w:r>
            <w:r w:rsidR="6318383C">
              <w:t>,</w:t>
            </w:r>
            <w:r>
              <w:t xml:space="preserve"> ressurser </w:t>
            </w:r>
            <w:r w:rsidR="2808CE1E">
              <w:t xml:space="preserve">og tjenester </w:t>
            </w:r>
            <w:r>
              <w:t>samt utstyr, systemer, data og informasjon.</w:t>
            </w:r>
          </w:p>
        </w:tc>
        <w:tc>
          <w:tcPr>
            <w:tcW w:w="5013" w:type="dxa"/>
          </w:tcPr>
          <w:p w14:paraId="2864005B" w14:textId="77777777" w:rsidR="00936B8B" w:rsidRDefault="00936B8B" w:rsidP="00404110"/>
        </w:tc>
      </w:tr>
      <w:tr w:rsidR="00936B8B" w14:paraId="6DAB0DC4" w14:textId="77777777" w:rsidTr="650F04E2">
        <w:trPr>
          <w:jc w:val="center"/>
        </w:trPr>
        <w:tc>
          <w:tcPr>
            <w:tcW w:w="1470" w:type="dxa"/>
            <w:vMerge/>
            <w:vAlign w:val="center"/>
          </w:tcPr>
          <w:p w14:paraId="47BE1951" w14:textId="77777777" w:rsidR="00936B8B" w:rsidRDefault="00936B8B" w:rsidP="00404110">
            <w:pPr>
              <w:jc w:val="center"/>
            </w:pPr>
          </w:p>
        </w:tc>
        <w:tc>
          <w:tcPr>
            <w:tcW w:w="881" w:type="dxa"/>
            <w:vAlign w:val="center"/>
          </w:tcPr>
          <w:p w14:paraId="62DE14BC" w14:textId="4C2EA3ED" w:rsidR="00936B8B" w:rsidRDefault="00936B8B" w:rsidP="00404110">
            <w:pPr>
              <w:jc w:val="center"/>
            </w:pPr>
            <w:r>
              <w:t>(b)</w:t>
            </w:r>
          </w:p>
        </w:tc>
        <w:tc>
          <w:tcPr>
            <w:tcW w:w="8024" w:type="dxa"/>
          </w:tcPr>
          <w:p w14:paraId="7CCE681B" w14:textId="70CCFB21" w:rsidR="00936B8B" w:rsidRDefault="19CE9C25" w:rsidP="00404110">
            <w:r>
              <w:t xml:space="preserve">Organisasjonen skal identifisere </w:t>
            </w:r>
            <w:r w:rsidR="50F00550">
              <w:t>grensesnitt</w:t>
            </w:r>
            <w:r>
              <w:t xml:space="preserve"> mot andre organisasjoner</w:t>
            </w:r>
            <w:r w:rsidR="0B9C6EB9">
              <w:t xml:space="preserve"> som kan innebære risiko knyttet til informasjonssikkerhet.</w:t>
            </w:r>
          </w:p>
        </w:tc>
        <w:tc>
          <w:tcPr>
            <w:tcW w:w="5013" w:type="dxa"/>
          </w:tcPr>
          <w:p w14:paraId="157CBEA9" w14:textId="77777777" w:rsidR="00936B8B" w:rsidRDefault="00936B8B" w:rsidP="00404110"/>
        </w:tc>
      </w:tr>
      <w:tr w:rsidR="00936B8B" w14:paraId="6A89F51D" w14:textId="77777777" w:rsidTr="650F04E2">
        <w:trPr>
          <w:jc w:val="center"/>
        </w:trPr>
        <w:tc>
          <w:tcPr>
            <w:tcW w:w="1470" w:type="dxa"/>
            <w:vMerge/>
            <w:vAlign w:val="center"/>
          </w:tcPr>
          <w:p w14:paraId="4C2066BC" w14:textId="77777777" w:rsidR="00936B8B" w:rsidRDefault="00936B8B" w:rsidP="00404110">
            <w:pPr>
              <w:jc w:val="center"/>
            </w:pPr>
          </w:p>
        </w:tc>
        <w:tc>
          <w:tcPr>
            <w:tcW w:w="881" w:type="dxa"/>
            <w:vAlign w:val="center"/>
          </w:tcPr>
          <w:p w14:paraId="12122A9E" w14:textId="5ADABBEA" w:rsidR="00936B8B" w:rsidRDefault="00936B8B" w:rsidP="00404110">
            <w:pPr>
              <w:jc w:val="center"/>
            </w:pPr>
            <w:r>
              <w:t>(c)</w:t>
            </w:r>
          </w:p>
        </w:tc>
        <w:tc>
          <w:tcPr>
            <w:tcW w:w="8024" w:type="dxa"/>
          </w:tcPr>
          <w:p w14:paraId="5DF9AD96" w14:textId="58954034" w:rsidR="00936B8B" w:rsidRDefault="5232581C" w:rsidP="00404110">
            <w:r>
              <w:t>Identifisere risiko knyttet til informasjonssikkerhet som kan påvirke flysikkerhet, tilordne et nivå</w:t>
            </w:r>
            <w:r w:rsidR="19CE9C25">
              <w:t xml:space="preserve"> </w:t>
            </w:r>
            <w:r w:rsidR="0FD8EFDA">
              <w:t xml:space="preserve">i henhold til en forhåndsdefinert </w:t>
            </w:r>
            <w:r w:rsidR="19CE9C25">
              <w:t>klassifiser</w:t>
            </w:r>
            <w:r w:rsidR="3FB49554">
              <w:t>ing og angi dette for</w:t>
            </w:r>
            <w:r w:rsidR="19CE9C25">
              <w:t xml:space="preserve"> alle punktene nevnt over i henhold til dette</w:t>
            </w:r>
          </w:p>
        </w:tc>
        <w:tc>
          <w:tcPr>
            <w:tcW w:w="5013" w:type="dxa"/>
          </w:tcPr>
          <w:p w14:paraId="4E854A8D" w14:textId="77777777" w:rsidR="00936B8B" w:rsidRDefault="00936B8B" w:rsidP="00404110"/>
        </w:tc>
      </w:tr>
      <w:tr w:rsidR="00404110" w14:paraId="60FC2A18" w14:textId="77777777" w:rsidTr="650F04E2">
        <w:trPr>
          <w:jc w:val="center"/>
        </w:trPr>
        <w:tc>
          <w:tcPr>
            <w:tcW w:w="1470" w:type="dxa"/>
            <w:vAlign w:val="center"/>
          </w:tcPr>
          <w:p w14:paraId="566F41C9" w14:textId="133683F2" w:rsidR="00404110" w:rsidRDefault="00936B8B" w:rsidP="00404110">
            <w:pPr>
              <w:jc w:val="center"/>
            </w:pPr>
            <w:r w:rsidRPr="003B1750">
              <w:t>IS.</w:t>
            </w:r>
            <w:r>
              <w:t>I</w:t>
            </w:r>
            <w:r w:rsidRPr="003B1750">
              <w:t>.OR.2</w:t>
            </w:r>
            <w:r>
              <w:t>10</w:t>
            </w:r>
          </w:p>
        </w:tc>
        <w:tc>
          <w:tcPr>
            <w:tcW w:w="881" w:type="dxa"/>
            <w:vAlign w:val="center"/>
          </w:tcPr>
          <w:p w14:paraId="053B9065" w14:textId="5CC2DF6F" w:rsidR="00404110" w:rsidRDefault="00936B8B" w:rsidP="00404110">
            <w:pPr>
              <w:jc w:val="center"/>
            </w:pPr>
            <w:r>
              <w:t>(a)</w:t>
            </w:r>
          </w:p>
        </w:tc>
        <w:tc>
          <w:tcPr>
            <w:tcW w:w="8024" w:type="dxa"/>
          </w:tcPr>
          <w:p w14:paraId="591F1409" w14:textId="0ECA5C3C" w:rsidR="00404110" w:rsidRDefault="19CE9C25" w:rsidP="00404110">
            <w:r>
              <w:t>Utarbeide tiltak for å adressere uakseptabel risiko identifisert over</w:t>
            </w:r>
            <w:r w:rsidR="649927D4">
              <w:t xml:space="preserve"> og sikre at disse kontinuerlig er effektive</w:t>
            </w:r>
          </w:p>
        </w:tc>
        <w:tc>
          <w:tcPr>
            <w:tcW w:w="5013" w:type="dxa"/>
          </w:tcPr>
          <w:p w14:paraId="18507098" w14:textId="77777777" w:rsidR="00404110" w:rsidRDefault="00404110" w:rsidP="00404110"/>
        </w:tc>
      </w:tr>
      <w:tr w:rsidR="00A9348D" w14:paraId="27791A32" w14:textId="77777777" w:rsidTr="650F04E2">
        <w:trPr>
          <w:jc w:val="center"/>
        </w:trPr>
        <w:tc>
          <w:tcPr>
            <w:tcW w:w="1470" w:type="dxa"/>
            <w:vMerge w:val="restart"/>
            <w:vAlign w:val="center"/>
          </w:tcPr>
          <w:p w14:paraId="49F41C8B" w14:textId="69662068" w:rsidR="00A9348D" w:rsidRDefault="00A9348D" w:rsidP="00404110">
            <w:pPr>
              <w:jc w:val="center"/>
            </w:pPr>
            <w:r w:rsidRPr="003B1750">
              <w:t>IS.</w:t>
            </w:r>
            <w:r>
              <w:t>I</w:t>
            </w:r>
            <w:r w:rsidRPr="003B1750">
              <w:t>.OR.2</w:t>
            </w:r>
            <w:r>
              <w:t>15</w:t>
            </w:r>
          </w:p>
        </w:tc>
        <w:tc>
          <w:tcPr>
            <w:tcW w:w="881" w:type="dxa"/>
            <w:vAlign w:val="center"/>
          </w:tcPr>
          <w:p w14:paraId="34F7D28B" w14:textId="70700F87" w:rsidR="00A9348D" w:rsidRDefault="00A9348D" w:rsidP="00404110">
            <w:pPr>
              <w:jc w:val="center"/>
            </w:pPr>
            <w:r>
              <w:t>(a)</w:t>
            </w:r>
          </w:p>
        </w:tc>
        <w:tc>
          <w:tcPr>
            <w:tcW w:w="8024" w:type="dxa"/>
          </w:tcPr>
          <w:p w14:paraId="2254F45E" w14:textId="1DE29C44" w:rsidR="00A9348D" w:rsidRDefault="578AF24D" w:rsidP="00404110">
            <w:r>
              <w:t xml:space="preserve">Utarbeide et internt rapporteringsskjema </w:t>
            </w:r>
            <w:r w:rsidR="0767A76B">
              <w:t xml:space="preserve">for innsamling og evaluering av hendelser knyttet til informasjonssikkerhet </w:t>
            </w:r>
            <w:r>
              <w:t>(kontrakterte organisasjoner skal benytte samme skjema)</w:t>
            </w:r>
          </w:p>
        </w:tc>
        <w:tc>
          <w:tcPr>
            <w:tcW w:w="5013" w:type="dxa"/>
          </w:tcPr>
          <w:p w14:paraId="302F73C5" w14:textId="77777777" w:rsidR="00A9348D" w:rsidRDefault="00A9348D" w:rsidP="00404110"/>
        </w:tc>
      </w:tr>
      <w:tr w:rsidR="00A9348D" w14:paraId="20C50426" w14:textId="77777777" w:rsidTr="650F04E2">
        <w:trPr>
          <w:jc w:val="center"/>
        </w:trPr>
        <w:tc>
          <w:tcPr>
            <w:tcW w:w="1470" w:type="dxa"/>
            <w:vMerge/>
            <w:vAlign w:val="center"/>
          </w:tcPr>
          <w:p w14:paraId="26D91D52" w14:textId="77777777" w:rsidR="00A9348D" w:rsidRDefault="00A9348D" w:rsidP="00404110">
            <w:pPr>
              <w:jc w:val="center"/>
            </w:pPr>
          </w:p>
        </w:tc>
        <w:tc>
          <w:tcPr>
            <w:tcW w:w="881" w:type="dxa"/>
            <w:vAlign w:val="center"/>
          </w:tcPr>
          <w:p w14:paraId="72468FA1" w14:textId="6093845D" w:rsidR="00A9348D" w:rsidRDefault="00A9348D" w:rsidP="00404110">
            <w:pPr>
              <w:jc w:val="center"/>
            </w:pPr>
            <w:r>
              <w:t>(b)</w:t>
            </w:r>
          </w:p>
        </w:tc>
        <w:tc>
          <w:tcPr>
            <w:tcW w:w="8024" w:type="dxa"/>
          </w:tcPr>
          <w:p w14:paraId="18010036" w14:textId="01384A39" w:rsidR="00A9348D" w:rsidRDefault="00A9348D" w:rsidP="00404110">
            <w:r>
              <w:t>Utarbeide prosesser for å håndtere slike rapporter og distribuere informasjon internt</w:t>
            </w:r>
          </w:p>
        </w:tc>
        <w:tc>
          <w:tcPr>
            <w:tcW w:w="5013" w:type="dxa"/>
          </w:tcPr>
          <w:p w14:paraId="7971E0AB" w14:textId="77777777" w:rsidR="00A9348D" w:rsidRDefault="00A9348D" w:rsidP="00404110"/>
        </w:tc>
      </w:tr>
      <w:tr w:rsidR="00EF48CA" w14:paraId="3C219D40" w14:textId="77777777" w:rsidTr="650F04E2">
        <w:trPr>
          <w:jc w:val="center"/>
        </w:trPr>
        <w:tc>
          <w:tcPr>
            <w:tcW w:w="1470" w:type="dxa"/>
            <w:vMerge w:val="restart"/>
            <w:vAlign w:val="center"/>
          </w:tcPr>
          <w:p w14:paraId="250538D0" w14:textId="089BBA7D" w:rsidR="00EF48CA" w:rsidRDefault="00EF48CA" w:rsidP="00404110">
            <w:pPr>
              <w:jc w:val="center"/>
            </w:pPr>
            <w:r w:rsidRPr="003B1750">
              <w:t>IS.</w:t>
            </w:r>
            <w:r>
              <w:t>I</w:t>
            </w:r>
            <w:r w:rsidRPr="003B1750">
              <w:t>.OR.2</w:t>
            </w:r>
            <w:r>
              <w:t>20</w:t>
            </w:r>
          </w:p>
        </w:tc>
        <w:tc>
          <w:tcPr>
            <w:tcW w:w="881" w:type="dxa"/>
            <w:vAlign w:val="center"/>
          </w:tcPr>
          <w:p w14:paraId="54614E1D" w14:textId="3309A542" w:rsidR="00EF48CA" w:rsidRDefault="00EF48CA" w:rsidP="00404110">
            <w:pPr>
              <w:jc w:val="center"/>
            </w:pPr>
            <w:r>
              <w:t>(a)</w:t>
            </w:r>
          </w:p>
        </w:tc>
        <w:tc>
          <w:tcPr>
            <w:tcW w:w="8024" w:type="dxa"/>
          </w:tcPr>
          <w:p w14:paraId="33FEA479" w14:textId="5DB2685D" w:rsidR="00EF48CA" w:rsidRDefault="00EF48CA" w:rsidP="00404110">
            <w:r>
              <w:t>Etablere overvåkingssystemer («</w:t>
            </w:r>
            <w:proofErr w:type="spellStart"/>
            <w:r>
              <w:t>SPI’er</w:t>
            </w:r>
            <w:proofErr w:type="spellEnd"/>
            <w:r>
              <w:t>») som kan varsle om avvik fra en definert baseline, og terskelverdier for varsler</w:t>
            </w:r>
          </w:p>
        </w:tc>
        <w:tc>
          <w:tcPr>
            <w:tcW w:w="5013" w:type="dxa"/>
          </w:tcPr>
          <w:p w14:paraId="4AF88C0D" w14:textId="77777777" w:rsidR="00EF48CA" w:rsidRDefault="00EF48CA" w:rsidP="00404110"/>
        </w:tc>
      </w:tr>
      <w:tr w:rsidR="00EF48CA" w14:paraId="58BD4A6A" w14:textId="77777777" w:rsidTr="650F04E2">
        <w:trPr>
          <w:jc w:val="center"/>
        </w:trPr>
        <w:tc>
          <w:tcPr>
            <w:tcW w:w="1470" w:type="dxa"/>
            <w:vMerge/>
            <w:vAlign w:val="center"/>
          </w:tcPr>
          <w:p w14:paraId="0A6CFF1A" w14:textId="77777777" w:rsidR="00EF48CA" w:rsidRDefault="00EF48CA" w:rsidP="00404110">
            <w:pPr>
              <w:jc w:val="center"/>
            </w:pPr>
          </w:p>
        </w:tc>
        <w:tc>
          <w:tcPr>
            <w:tcW w:w="881" w:type="dxa"/>
            <w:vAlign w:val="center"/>
          </w:tcPr>
          <w:p w14:paraId="12833149" w14:textId="2943E8AE" w:rsidR="00EF48CA" w:rsidRDefault="00EF48CA" w:rsidP="00404110">
            <w:pPr>
              <w:jc w:val="center"/>
            </w:pPr>
            <w:r>
              <w:t>(b)</w:t>
            </w:r>
          </w:p>
        </w:tc>
        <w:tc>
          <w:tcPr>
            <w:tcW w:w="8024" w:type="dxa"/>
          </w:tcPr>
          <w:p w14:paraId="4E0670C5" w14:textId="4E87C979" w:rsidR="00EF48CA" w:rsidRDefault="00EF48CA" w:rsidP="00404110">
            <w:r>
              <w:t xml:space="preserve">Varsler nevnt over skal utløse </w:t>
            </w:r>
            <w:proofErr w:type="spellStart"/>
            <w:r>
              <w:t>predefinerte</w:t>
            </w:r>
            <w:proofErr w:type="spellEnd"/>
            <w:r>
              <w:t xml:space="preserve"> tiltak og ressurser</w:t>
            </w:r>
          </w:p>
        </w:tc>
        <w:tc>
          <w:tcPr>
            <w:tcW w:w="5013" w:type="dxa"/>
          </w:tcPr>
          <w:p w14:paraId="682118B2" w14:textId="77777777" w:rsidR="00EF48CA" w:rsidRDefault="00EF48CA" w:rsidP="00404110"/>
        </w:tc>
      </w:tr>
      <w:tr w:rsidR="00EF48CA" w14:paraId="71BDC174" w14:textId="77777777" w:rsidTr="650F04E2">
        <w:trPr>
          <w:jc w:val="center"/>
        </w:trPr>
        <w:tc>
          <w:tcPr>
            <w:tcW w:w="1470" w:type="dxa"/>
            <w:vMerge/>
            <w:vAlign w:val="center"/>
          </w:tcPr>
          <w:p w14:paraId="32A71C8E" w14:textId="77777777" w:rsidR="00EF48CA" w:rsidRDefault="00EF48CA" w:rsidP="00404110">
            <w:pPr>
              <w:jc w:val="center"/>
            </w:pPr>
          </w:p>
        </w:tc>
        <w:tc>
          <w:tcPr>
            <w:tcW w:w="881" w:type="dxa"/>
            <w:vAlign w:val="center"/>
          </w:tcPr>
          <w:p w14:paraId="4FFF4B7A" w14:textId="1320DFE5" w:rsidR="00EF48CA" w:rsidRDefault="00EF48CA" w:rsidP="00404110">
            <w:pPr>
              <w:jc w:val="center"/>
            </w:pPr>
            <w:r>
              <w:t>(c)</w:t>
            </w:r>
          </w:p>
        </w:tc>
        <w:tc>
          <w:tcPr>
            <w:tcW w:w="8024" w:type="dxa"/>
          </w:tcPr>
          <w:p w14:paraId="0FFF63A3" w14:textId="0D563F74" w:rsidR="00EF48CA" w:rsidRDefault="00EF48CA" w:rsidP="00404110">
            <w:r>
              <w:t xml:space="preserve">Organisasjonen skal ha planer for å retur til «safe </w:t>
            </w:r>
            <w:proofErr w:type="spellStart"/>
            <w:r>
              <w:t>state</w:t>
            </w:r>
            <w:proofErr w:type="spellEnd"/>
            <w:r>
              <w:t>» etter en alvorlig hendelse innen en predefinert akseptabel tidsperiode</w:t>
            </w:r>
          </w:p>
        </w:tc>
        <w:tc>
          <w:tcPr>
            <w:tcW w:w="5013" w:type="dxa"/>
          </w:tcPr>
          <w:p w14:paraId="539E0F4C" w14:textId="77777777" w:rsidR="00EF48CA" w:rsidRDefault="00EF48CA" w:rsidP="00404110"/>
        </w:tc>
      </w:tr>
      <w:tr w:rsidR="00404110" w14:paraId="6EE4E899" w14:textId="77777777" w:rsidTr="650F04E2">
        <w:trPr>
          <w:jc w:val="center"/>
        </w:trPr>
        <w:tc>
          <w:tcPr>
            <w:tcW w:w="1470" w:type="dxa"/>
            <w:vAlign w:val="center"/>
          </w:tcPr>
          <w:p w14:paraId="4EB0676F" w14:textId="55173598" w:rsidR="00404110" w:rsidRDefault="00EF48CA" w:rsidP="00404110">
            <w:pPr>
              <w:jc w:val="center"/>
            </w:pPr>
            <w:r w:rsidRPr="003B1750">
              <w:t>IS.</w:t>
            </w:r>
            <w:r>
              <w:t>I</w:t>
            </w:r>
            <w:r w:rsidRPr="003B1750">
              <w:t>.OR.2</w:t>
            </w:r>
            <w:r w:rsidR="00155D32">
              <w:t>2</w:t>
            </w:r>
            <w:r>
              <w:t>5</w:t>
            </w:r>
          </w:p>
        </w:tc>
        <w:tc>
          <w:tcPr>
            <w:tcW w:w="881" w:type="dxa"/>
            <w:vAlign w:val="center"/>
          </w:tcPr>
          <w:p w14:paraId="607CFC4B" w14:textId="0036D1D8" w:rsidR="00404110" w:rsidRDefault="00EF48CA" w:rsidP="00404110">
            <w:pPr>
              <w:jc w:val="center"/>
            </w:pPr>
            <w:r>
              <w:t>(a)</w:t>
            </w:r>
          </w:p>
        </w:tc>
        <w:tc>
          <w:tcPr>
            <w:tcW w:w="8024" w:type="dxa"/>
          </w:tcPr>
          <w:p w14:paraId="35E7A376" w14:textId="0D37F6AE" w:rsidR="00404110" w:rsidRDefault="00EF48CA" w:rsidP="00404110">
            <w:r>
              <w:t>Beskrivelse av hvordan pålegg fra myndighetene (avviksbehandling) gjennomføres</w:t>
            </w:r>
          </w:p>
        </w:tc>
        <w:tc>
          <w:tcPr>
            <w:tcW w:w="5013" w:type="dxa"/>
          </w:tcPr>
          <w:p w14:paraId="1276B405" w14:textId="77777777" w:rsidR="00404110" w:rsidRDefault="00404110" w:rsidP="00404110"/>
        </w:tc>
      </w:tr>
      <w:tr w:rsidR="00F73814" w14:paraId="458E2B0A" w14:textId="77777777" w:rsidTr="650F04E2">
        <w:trPr>
          <w:jc w:val="center"/>
        </w:trPr>
        <w:tc>
          <w:tcPr>
            <w:tcW w:w="1470" w:type="dxa"/>
            <w:vMerge w:val="restart"/>
            <w:vAlign w:val="center"/>
          </w:tcPr>
          <w:p w14:paraId="4CDF0907" w14:textId="4D157330" w:rsidR="00F73814" w:rsidRDefault="00F73814" w:rsidP="00404110">
            <w:pPr>
              <w:jc w:val="center"/>
            </w:pPr>
            <w:r w:rsidRPr="003B1750">
              <w:lastRenderedPageBreak/>
              <w:t>IS.</w:t>
            </w:r>
            <w:r>
              <w:t>I</w:t>
            </w:r>
            <w:r w:rsidRPr="003B1750">
              <w:t>.OR.2</w:t>
            </w:r>
            <w:r>
              <w:t>30</w:t>
            </w:r>
          </w:p>
        </w:tc>
        <w:tc>
          <w:tcPr>
            <w:tcW w:w="881" w:type="dxa"/>
            <w:vAlign w:val="center"/>
          </w:tcPr>
          <w:p w14:paraId="236A399F" w14:textId="234F835A" w:rsidR="00F73814" w:rsidRDefault="00F73814" w:rsidP="00404110">
            <w:pPr>
              <w:jc w:val="center"/>
            </w:pPr>
            <w:r>
              <w:t>(a)</w:t>
            </w:r>
          </w:p>
        </w:tc>
        <w:tc>
          <w:tcPr>
            <w:tcW w:w="8024" w:type="dxa"/>
          </w:tcPr>
          <w:p w14:paraId="3D3147B4" w14:textId="54D18658" w:rsidR="00F73814" w:rsidRDefault="00F73814" w:rsidP="00404110">
            <w:r>
              <w:t>Organisasjonen skal utarbeide et hendelsesrapporteringsskjema i tråd med Reg 376/2014 for ekstern rapportering til myndighetene av informasjonssikkerhetshendelser</w:t>
            </w:r>
          </w:p>
        </w:tc>
        <w:tc>
          <w:tcPr>
            <w:tcW w:w="5013" w:type="dxa"/>
          </w:tcPr>
          <w:p w14:paraId="26988E0C" w14:textId="77777777" w:rsidR="00F73814" w:rsidRDefault="00F73814" w:rsidP="00404110"/>
        </w:tc>
      </w:tr>
      <w:tr w:rsidR="00F73814" w14:paraId="1C2318B6" w14:textId="77777777" w:rsidTr="650F04E2">
        <w:trPr>
          <w:jc w:val="center"/>
        </w:trPr>
        <w:tc>
          <w:tcPr>
            <w:tcW w:w="1470" w:type="dxa"/>
            <w:vMerge/>
            <w:vAlign w:val="center"/>
          </w:tcPr>
          <w:p w14:paraId="506F4AA5" w14:textId="77777777" w:rsidR="00F73814" w:rsidRDefault="00F73814" w:rsidP="00404110">
            <w:pPr>
              <w:jc w:val="center"/>
            </w:pPr>
          </w:p>
        </w:tc>
        <w:tc>
          <w:tcPr>
            <w:tcW w:w="881" w:type="dxa"/>
            <w:vAlign w:val="center"/>
          </w:tcPr>
          <w:p w14:paraId="588F75DB" w14:textId="43F6182D" w:rsidR="00F73814" w:rsidRDefault="00F73814" w:rsidP="00404110">
            <w:pPr>
              <w:jc w:val="center"/>
            </w:pPr>
            <w:r>
              <w:t>(b)</w:t>
            </w:r>
          </w:p>
        </w:tc>
        <w:tc>
          <w:tcPr>
            <w:tcW w:w="8024" w:type="dxa"/>
          </w:tcPr>
          <w:p w14:paraId="12A92B34" w14:textId="2C33E47C" w:rsidR="00F73814" w:rsidRDefault="00F73814" w:rsidP="00404110">
            <w:r>
              <w:t>Hvis hendelsen berører fly eller tilhørende systemer, skal også typesertifikat eier også varsles. Tilsvarende skal hendelser som berører software eller systemer organisasjonen benytter, skal organisasjonen som produserer disse varsles.</w:t>
            </w:r>
          </w:p>
        </w:tc>
        <w:tc>
          <w:tcPr>
            <w:tcW w:w="5013" w:type="dxa"/>
          </w:tcPr>
          <w:p w14:paraId="7EEB18CB" w14:textId="77777777" w:rsidR="00F73814" w:rsidRDefault="00F73814" w:rsidP="00404110"/>
        </w:tc>
      </w:tr>
      <w:tr w:rsidR="00404110" w14:paraId="7AE620AF" w14:textId="77777777" w:rsidTr="650F04E2">
        <w:trPr>
          <w:jc w:val="center"/>
        </w:trPr>
        <w:tc>
          <w:tcPr>
            <w:tcW w:w="1470" w:type="dxa"/>
            <w:vAlign w:val="center"/>
          </w:tcPr>
          <w:p w14:paraId="752A545F" w14:textId="7F545B37" w:rsidR="00404110" w:rsidRDefault="00F73814" w:rsidP="00404110">
            <w:pPr>
              <w:jc w:val="center"/>
            </w:pPr>
            <w:r w:rsidRPr="003B1750">
              <w:t>IS.</w:t>
            </w:r>
            <w:r>
              <w:t>I</w:t>
            </w:r>
            <w:r w:rsidRPr="003B1750">
              <w:t>.OR.2</w:t>
            </w:r>
            <w:r>
              <w:t>35</w:t>
            </w:r>
          </w:p>
        </w:tc>
        <w:tc>
          <w:tcPr>
            <w:tcW w:w="881" w:type="dxa"/>
            <w:vAlign w:val="center"/>
          </w:tcPr>
          <w:p w14:paraId="73F3A6B6" w14:textId="77777777" w:rsidR="00404110" w:rsidRDefault="00404110" w:rsidP="00404110">
            <w:pPr>
              <w:jc w:val="center"/>
            </w:pPr>
          </w:p>
        </w:tc>
        <w:tc>
          <w:tcPr>
            <w:tcW w:w="8024" w:type="dxa"/>
          </w:tcPr>
          <w:p w14:paraId="654F8B07" w14:textId="7C6CF3FF" w:rsidR="00404110" w:rsidRDefault="00F73814" w:rsidP="00404110">
            <w:r>
              <w:t>Prosedyre og ansvarsforhold til kontrakterte organisasjoner skal beskrives</w:t>
            </w:r>
          </w:p>
        </w:tc>
        <w:tc>
          <w:tcPr>
            <w:tcW w:w="5013" w:type="dxa"/>
          </w:tcPr>
          <w:p w14:paraId="37956F93" w14:textId="77777777" w:rsidR="00404110" w:rsidRDefault="00404110" w:rsidP="00404110"/>
        </w:tc>
      </w:tr>
      <w:tr w:rsidR="009B537A" w14:paraId="56ACDBCA" w14:textId="77777777" w:rsidTr="650F04E2">
        <w:trPr>
          <w:jc w:val="center"/>
        </w:trPr>
        <w:tc>
          <w:tcPr>
            <w:tcW w:w="1470" w:type="dxa"/>
            <w:vMerge w:val="restart"/>
            <w:vAlign w:val="center"/>
          </w:tcPr>
          <w:p w14:paraId="2605F407" w14:textId="459DFE2B" w:rsidR="009B537A" w:rsidRDefault="009B537A" w:rsidP="00404110">
            <w:pPr>
              <w:jc w:val="center"/>
            </w:pPr>
            <w:r w:rsidRPr="003B1750">
              <w:t>IS.</w:t>
            </w:r>
            <w:r>
              <w:t>I</w:t>
            </w:r>
            <w:r w:rsidRPr="003B1750">
              <w:t>.OR.2</w:t>
            </w:r>
            <w:r>
              <w:t>40</w:t>
            </w:r>
          </w:p>
        </w:tc>
        <w:tc>
          <w:tcPr>
            <w:tcW w:w="881" w:type="dxa"/>
            <w:vAlign w:val="center"/>
          </w:tcPr>
          <w:p w14:paraId="4D6F715B" w14:textId="35C72782" w:rsidR="009B537A" w:rsidRDefault="009B537A" w:rsidP="00404110">
            <w:pPr>
              <w:jc w:val="center"/>
            </w:pPr>
            <w:r>
              <w:t>(a)</w:t>
            </w:r>
          </w:p>
        </w:tc>
        <w:tc>
          <w:tcPr>
            <w:tcW w:w="8024" w:type="dxa"/>
          </w:tcPr>
          <w:p w14:paraId="475C8E78" w14:textId="49DA6DD0" w:rsidR="009B537A" w:rsidRDefault="009B537A" w:rsidP="00404110">
            <w:proofErr w:type="spellStart"/>
            <w:r>
              <w:t>AM’s</w:t>
            </w:r>
            <w:proofErr w:type="spellEnd"/>
            <w:r>
              <w:t xml:space="preserve"> ansvar i forhold til Part-IS</w:t>
            </w:r>
          </w:p>
        </w:tc>
        <w:tc>
          <w:tcPr>
            <w:tcW w:w="5013" w:type="dxa"/>
          </w:tcPr>
          <w:p w14:paraId="44D26656" w14:textId="77777777" w:rsidR="009B537A" w:rsidRDefault="009B537A" w:rsidP="00404110"/>
        </w:tc>
      </w:tr>
      <w:tr w:rsidR="009B537A" w14:paraId="42DFA09D" w14:textId="77777777" w:rsidTr="650F04E2">
        <w:trPr>
          <w:jc w:val="center"/>
        </w:trPr>
        <w:tc>
          <w:tcPr>
            <w:tcW w:w="1470" w:type="dxa"/>
            <w:vMerge/>
            <w:vAlign w:val="center"/>
          </w:tcPr>
          <w:p w14:paraId="6ED48B73" w14:textId="77777777" w:rsidR="009B537A" w:rsidRDefault="009B537A" w:rsidP="00404110">
            <w:pPr>
              <w:jc w:val="center"/>
            </w:pPr>
          </w:p>
        </w:tc>
        <w:tc>
          <w:tcPr>
            <w:tcW w:w="881" w:type="dxa"/>
            <w:vAlign w:val="center"/>
          </w:tcPr>
          <w:p w14:paraId="6AF6B9A1" w14:textId="508FA670" w:rsidR="009B537A" w:rsidRDefault="009B537A" w:rsidP="00404110">
            <w:pPr>
              <w:jc w:val="center"/>
            </w:pPr>
            <w:r>
              <w:t>(b)</w:t>
            </w:r>
          </w:p>
        </w:tc>
        <w:tc>
          <w:tcPr>
            <w:tcW w:w="8024" w:type="dxa"/>
          </w:tcPr>
          <w:p w14:paraId="163C4343" w14:textId="08561E68" w:rsidR="009B537A" w:rsidRDefault="009B537A" w:rsidP="00404110">
            <w:r>
              <w:t xml:space="preserve">Personen eller </w:t>
            </w:r>
            <w:r w:rsidR="00A04901">
              <w:t>personene</w:t>
            </w:r>
            <w:r>
              <w:t xml:space="preserve"> utpekt av AM som ansvarlige for Part-IS i organisasjonen, skal ha nødvendig kompetanse og erfaring til å kunne utføre arbeidet. Det må beskrives hvem </w:t>
            </w:r>
            <w:r w:rsidR="00094048">
              <w:t xml:space="preserve">som </w:t>
            </w:r>
            <w:r>
              <w:t>fungerer som stedfortreder for den normalt ansvarlige i dennes fravær</w:t>
            </w:r>
          </w:p>
        </w:tc>
        <w:tc>
          <w:tcPr>
            <w:tcW w:w="5013" w:type="dxa"/>
          </w:tcPr>
          <w:p w14:paraId="20ED18DD" w14:textId="77777777" w:rsidR="009B537A" w:rsidRDefault="009B537A" w:rsidP="00404110"/>
        </w:tc>
      </w:tr>
      <w:tr w:rsidR="009B537A" w14:paraId="73E20DD5" w14:textId="77777777" w:rsidTr="650F04E2">
        <w:trPr>
          <w:jc w:val="center"/>
        </w:trPr>
        <w:tc>
          <w:tcPr>
            <w:tcW w:w="1470" w:type="dxa"/>
            <w:vMerge/>
            <w:vAlign w:val="center"/>
          </w:tcPr>
          <w:p w14:paraId="56D968FF" w14:textId="77777777" w:rsidR="009B537A" w:rsidRDefault="009B537A" w:rsidP="00404110">
            <w:pPr>
              <w:jc w:val="center"/>
            </w:pPr>
          </w:p>
        </w:tc>
        <w:tc>
          <w:tcPr>
            <w:tcW w:w="881" w:type="dxa"/>
            <w:vAlign w:val="center"/>
          </w:tcPr>
          <w:p w14:paraId="6D9DDB78" w14:textId="3B8D13CF" w:rsidR="009B537A" w:rsidRDefault="009B537A" w:rsidP="00404110">
            <w:pPr>
              <w:jc w:val="center"/>
            </w:pPr>
            <w:r>
              <w:t>(c)</w:t>
            </w:r>
          </w:p>
        </w:tc>
        <w:tc>
          <w:tcPr>
            <w:tcW w:w="8024" w:type="dxa"/>
          </w:tcPr>
          <w:p w14:paraId="5BF98CD1" w14:textId="1F563C41" w:rsidR="009B537A" w:rsidRDefault="009B537A" w:rsidP="00404110">
            <w:r>
              <w:t xml:space="preserve">AM skal utpeke en person eller personer ansvarlig for </w:t>
            </w:r>
            <w:proofErr w:type="spellStart"/>
            <w:r>
              <w:t>compliance</w:t>
            </w:r>
            <w:proofErr w:type="spellEnd"/>
            <w:r>
              <w:t xml:space="preserve"> </w:t>
            </w:r>
            <w:proofErr w:type="spellStart"/>
            <w:r>
              <w:t>monitorering</w:t>
            </w:r>
            <w:proofErr w:type="spellEnd"/>
            <w:r>
              <w:t xml:space="preserve"> av Part-IS delen av organisasjonen.</w:t>
            </w:r>
          </w:p>
        </w:tc>
        <w:tc>
          <w:tcPr>
            <w:tcW w:w="5013" w:type="dxa"/>
          </w:tcPr>
          <w:p w14:paraId="0F9C2271" w14:textId="77777777" w:rsidR="009B537A" w:rsidRDefault="009B537A" w:rsidP="00404110"/>
        </w:tc>
      </w:tr>
      <w:tr w:rsidR="009B537A" w14:paraId="65D8F969" w14:textId="77777777" w:rsidTr="650F04E2">
        <w:trPr>
          <w:jc w:val="center"/>
        </w:trPr>
        <w:tc>
          <w:tcPr>
            <w:tcW w:w="1470" w:type="dxa"/>
            <w:vMerge/>
            <w:vAlign w:val="center"/>
          </w:tcPr>
          <w:p w14:paraId="5D5A9193" w14:textId="77777777" w:rsidR="009B537A" w:rsidRDefault="009B537A" w:rsidP="00404110">
            <w:pPr>
              <w:jc w:val="center"/>
            </w:pPr>
          </w:p>
        </w:tc>
        <w:tc>
          <w:tcPr>
            <w:tcW w:w="881" w:type="dxa"/>
            <w:vAlign w:val="center"/>
          </w:tcPr>
          <w:p w14:paraId="768F9C7A" w14:textId="42E2FAC2" w:rsidR="009B537A" w:rsidRDefault="009B537A" w:rsidP="00F73814">
            <w:pPr>
              <w:jc w:val="center"/>
            </w:pPr>
            <w:r>
              <w:t>(d)</w:t>
            </w:r>
          </w:p>
        </w:tc>
        <w:tc>
          <w:tcPr>
            <w:tcW w:w="8024" w:type="dxa"/>
          </w:tcPr>
          <w:p w14:paraId="7E72D99F" w14:textId="50604F7A" w:rsidR="009B537A" w:rsidRDefault="009B537A" w:rsidP="00404110">
            <w:r>
              <w:t>Dersom ansvaret er delegert til en CRP utenfor organisasjonen (eksempelvis i et konsern), skal det beskrives hvordan AM koordinerer med denne personen for å sikre adekvat integrasjon a</w:t>
            </w:r>
            <w:r w:rsidR="00E96D2D">
              <w:t>v</w:t>
            </w:r>
            <w:r>
              <w:t xml:space="preserve"> informasjonssikkerhet i organisasjonen. En eventuell CRP må ha mandat til å til å kunne opprette og vedlikeholde alle nødvendige fasetter </w:t>
            </w:r>
            <w:r w:rsidR="00D52BA8">
              <w:t xml:space="preserve">av </w:t>
            </w:r>
            <w:r w:rsidRPr="003B1750">
              <w:t>IS.</w:t>
            </w:r>
            <w:r>
              <w:t>I</w:t>
            </w:r>
            <w:r w:rsidRPr="003B1750">
              <w:t>.OR.20</w:t>
            </w:r>
            <w:r>
              <w:t>0 i alle tilknyttede organisasjoner</w:t>
            </w:r>
          </w:p>
        </w:tc>
        <w:tc>
          <w:tcPr>
            <w:tcW w:w="5013" w:type="dxa"/>
          </w:tcPr>
          <w:p w14:paraId="171398C8" w14:textId="77777777" w:rsidR="009B537A" w:rsidRDefault="009B537A" w:rsidP="00404110"/>
        </w:tc>
      </w:tr>
      <w:tr w:rsidR="009B537A" w14:paraId="5F8D37F8" w14:textId="77777777" w:rsidTr="650F04E2">
        <w:trPr>
          <w:jc w:val="center"/>
        </w:trPr>
        <w:tc>
          <w:tcPr>
            <w:tcW w:w="1470" w:type="dxa"/>
            <w:vMerge/>
            <w:vAlign w:val="center"/>
          </w:tcPr>
          <w:p w14:paraId="713E59E8" w14:textId="77777777" w:rsidR="009B537A" w:rsidRDefault="009B537A" w:rsidP="00404110">
            <w:pPr>
              <w:jc w:val="center"/>
            </w:pPr>
          </w:p>
        </w:tc>
        <w:tc>
          <w:tcPr>
            <w:tcW w:w="881" w:type="dxa"/>
            <w:vAlign w:val="center"/>
          </w:tcPr>
          <w:p w14:paraId="000C1B70" w14:textId="51831C10" w:rsidR="009B537A" w:rsidRDefault="009B537A" w:rsidP="00404110">
            <w:pPr>
              <w:jc w:val="center"/>
            </w:pPr>
            <w:r>
              <w:t>(f)</w:t>
            </w:r>
          </w:p>
        </w:tc>
        <w:tc>
          <w:tcPr>
            <w:tcW w:w="8024" w:type="dxa"/>
          </w:tcPr>
          <w:p w14:paraId="6B85386E" w14:textId="22D291CE" w:rsidR="009B537A" w:rsidRDefault="009B537A" w:rsidP="00404110">
            <w:r>
              <w:t>Organisasjonen skal basert på organisasjonens kompleksitet og størrelse sikre at det er tilstrekkelig personell til</w:t>
            </w:r>
            <w:r w:rsidR="00144D41">
              <w:t xml:space="preserve"> </w:t>
            </w:r>
            <w:r>
              <w:t xml:space="preserve">stede for å ivareta </w:t>
            </w:r>
            <w:r w:rsidRPr="003B1750">
              <w:t>IS.</w:t>
            </w:r>
            <w:r>
              <w:t>I</w:t>
            </w:r>
            <w:r w:rsidRPr="003B1750">
              <w:t>.OR.20</w:t>
            </w:r>
            <w:r>
              <w:t>0</w:t>
            </w:r>
            <w:r w:rsidR="00D52BA8">
              <w:t>-</w:t>
            </w:r>
            <w:r>
              <w:t>kravene</w:t>
            </w:r>
          </w:p>
        </w:tc>
        <w:tc>
          <w:tcPr>
            <w:tcW w:w="5013" w:type="dxa"/>
          </w:tcPr>
          <w:p w14:paraId="70D2BC43" w14:textId="77777777" w:rsidR="009B537A" w:rsidRDefault="009B537A" w:rsidP="00404110"/>
        </w:tc>
      </w:tr>
      <w:tr w:rsidR="009B537A" w14:paraId="46CC2261" w14:textId="77777777" w:rsidTr="650F04E2">
        <w:trPr>
          <w:jc w:val="center"/>
        </w:trPr>
        <w:tc>
          <w:tcPr>
            <w:tcW w:w="1470" w:type="dxa"/>
            <w:vMerge/>
            <w:vAlign w:val="center"/>
          </w:tcPr>
          <w:p w14:paraId="5FE35D3A" w14:textId="77777777" w:rsidR="009B537A" w:rsidRDefault="009B537A" w:rsidP="00404110">
            <w:pPr>
              <w:jc w:val="center"/>
            </w:pPr>
          </w:p>
        </w:tc>
        <w:tc>
          <w:tcPr>
            <w:tcW w:w="881" w:type="dxa"/>
            <w:vAlign w:val="center"/>
          </w:tcPr>
          <w:p w14:paraId="307C6FB6" w14:textId="661C7A15" w:rsidR="009B537A" w:rsidRDefault="009B537A" w:rsidP="00404110">
            <w:pPr>
              <w:jc w:val="center"/>
            </w:pPr>
            <w:r>
              <w:t>(g)</w:t>
            </w:r>
          </w:p>
        </w:tc>
        <w:tc>
          <w:tcPr>
            <w:tcW w:w="8024" w:type="dxa"/>
          </w:tcPr>
          <w:p w14:paraId="30D65356" w14:textId="4E172C19" w:rsidR="009B537A" w:rsidRDefault="009B537A" w:rsidP="00404110">
            <w:r>
              <w:t>Disse personene må ha nødvendig kompetanse til å utføre arbeidet</w:t>
            </w:r>
          </w:p>
        </w:tc>
        <w:tc>
          <w:tcPr>
            <w:tcW w:w="5013" w:type="dxa"/>
          </w:tcPr>
          <w:p w14:paraId="2947E941" w14:textId="77777777" w:rsidR="009B537A" w:rsidRDefault="009B537A" w:rsidP="00404110"/>
        </w:tc>
      </w:tr>
      <w:tr w:rsidR="009B537A" w14:paraId="08EEC3F4" w14:textId="77777777" w:rsidTr="650F04E2">
        <w:trPr>
          <w:jc w:val="center"/>
        </w:trPr>
        <w:tc>
          <w:tcPr>
            <w:tcW w:w="1470" w:type="dxa"/>
            <w:vMerge/>
            <w:vAlign w:val="center"/>
          </w:tcPr>
          <w:p w14:paraId="04AA28F5" w14:textId="77777777" w:rsidR="009B537A" w:rsidRDefault="009B537A" w:rsidP="00404110">
            <w:pPr>
              <w:jc w:val="center"/>
            </w:pPr>
          </w:p>
        </w:tc>
        <w:tc>
          <w:tcPr>
            <w:tcW w:w="881" w:type="dxa"/>
            <w:vAlign w:val="center"/>
          </w:tcPr>
          <w:p w14:paraId="0EF1F9D3" w14:textId="247A212E" w:rsidR="009B537A" w:rsidRDefault="009B537A" w:rsidP="00404110">
            <w:pPr>
              <w:jc w:val="center"/>
            </w:pPr>
            <w:r>
              <w:t>(i)</w:t>
            </w:r>
          </w:p>
        </w:tc>
        <w:tc>
          <w:tcPr>
            <w:tcW w:w="8024" w:type="dxa"/>
          </w:tcPr>
          <w:p w14:paraId="7409DDAE" w14:textId="67ED88E1" w:rsidR="009B537A" w:rsidRDefault="009B537A" w:rsidP="00404110">
            <w:r>
              <w:t>Organisasjonen skal sikre at identitet og pålitelighet til personene nevnt over undersøkt og ivaretatt (</w:t>
            </w:r>
            <w:r w:rsidR="001B1291">
              <w:t xml:space="preserve">f.eks. </w:t>
            </w:r>
            <w:r>
              <w:t>bakgrunnssjekk/politiattest).</w:t>
            </w:r>
          </w:p>
        </w:tc>
        <w:tc>
          <w:tcPr>
            <w:tcW w:w="5013" w:type="dxa"/>
          </w:tcPr>
          <w:p w14:paraId="398A47BC" w14:textId="77777777" w:rsidR="009B537A" w:rsidRDefault="009B537A" w:rsidP="00404110"/>
        </w:tc>
      </w:tr>
      <w:tr w:rsidR="00810047" w14:paraId="58245E80" w14:textId="77777777" w:rsidTr="650F04E2">
        <w:trPr>
          <w:jc w:val="center"/>
        </w:trPr>
        <w:tc>
          <w:tcPr>
            <w:tcW w:w="1470" w:type="dxa"/>
            <w:vMerge w:val="restart"/>
            <w:vAlign w:val="center"/>
          </w:tcPr>
          <w:p w14:paraId="468546E0" w14:textId="05AE134D" w:rsidR="00810047" w:rsidRDefault="00810047" w:rsidP="00404110">
            <w:pPr>
              <w:jc w:val="center"/>
            </w:pPr>
            <w:r w:rsidRPr="003B1750">
              <w:t>IS.</w:t>
            </w:r>
            <w:r>
              <w:t>I</w:t>
            </w:r>
            <w:r w:rsidRPr="003B1750">
              <w:t>.OR.2</w:t>
            </w:r>
            <w:r>
              <w:t>45</w:t>
            </w:r>
          </w:p>
        </w:tc>
        <w:tc>
          <w:tcPr>
            <w:tcW w:w="881" w:type="dxa"/>
            <w:vAlign w:val="center"/>
          </w:tcPr>
          <w:p w14:paraId="01FCC9A2" w14:textId="18469DCC" w:rsidR="00810047" w:rsidRDefault="00810047" w:rsidP="00404110">
            <w:pPr>
              <w:jc w:val="center"/>
            </w:pPr>
            <w:r>
              <w:t>(a)</w:t>
            </w:r>
          </w:p>
        </w:tc>
        <w:tc>
          <w:tcPr>
            <w:tcW w:w="8024" w:type="dxa"/>
          </w:tcPr>
          <w:p w14:paraId="59CFFF8D" w14:textId="6650515C" w:rsidR="00810047" w:rsidRDefault="00810047" w:rsidP="00404110">
            <w:r>
              <w:t xml:space="preserve">Organisasjonen må beskrive hvordan </w:t>
            </w:r>
            <w:r w:rsidR="00CC63F2">
              <w:t>jo</w:t>
            </w:r>
            <w:r w:rsidR="00E048A2">
              <w:t xml:space="preserve">urnalføring/arkivering </w:t>
            </w:r>
            <w:r>
              <w:t xml:space="preserve">i 5 år av alle punktene nevnt under punkt </w:t>
            </w:r>
            <w:r w:rsidRPr="008A018A">
              <w:t>(a</w:t>
            </w:r>
            <w:proofErr w:type="gramStart"/>
            <w:r w:rsidRPr="008A018A">
              <w:t>)(</w:t>
            </w:r>
            <w:proofErr w:type="gramEnd"/>
            <w:r w:rsidRPr="008A018A">
              <w:t>1-5)</w:t>
            </w:r>
            <w:r>
              <w:t xml:space="preserve"> er ivaretatt</w:t>
            </w:r>
          </w:p>
        </w:tc>
        <w:tc>
          <w:tcPr>
            <w:tcW w:w="5013" w:type="dxa"/>
          </w:tcPr>
          <w:p w14:paraId="1B8BAACE" w14:textId="77777777" w:rsidR="00810047" w:rsidRDefault="00810047" w:rsidP="00404110"/>
        </w:tc>
      </w:tr>
      <w:tr w:rsidR="00810047" w14:paraId="74E27797" w14:textId="77777777" w:rsidTr="650F04E2">
        <w:trPr>
          <w:jc w:val="center"/>
        </w:trPr>
        <w:tc>
          <w:tcPr>
            <w:tcW w:w="1470" w:type="dxa"/>
            <w:vMerge/>
            <w:vAlign w:val="center"/>
          </w:tcPr>
          <w:p w14:paraId="212B1B8D" w14:textId="77777777" w:rsidR="00810047" w:rsidRDefault="00810047" w:rsidP="00404110">
            <w:pPr>
              <w:jc w:val="center"/>
            </w:pPr>
          </w:p>
        </w:tc>
        <w:tc>
          <w:tcPr>
            <w:tcW w:w="881" w:type="dxa"/>
            <w:vAlign w:val="center"/>
          </w:tcPr>
          <w:p w14:paraId="0DCCBBE7" w14:textId="01D0E63B" w:rsidR="00810047" w:rsidRDefault="00810047" w:rsidP="00404110">
            <w:pPr>
              <w:jc w:val="center"/>
            </w:pPr>
            <w:r>
              <w:t>(b)</w:t>
            </w:r>
          </w:p>
        </w:tc>
        <w:tc>
          <w:tcPr>
            <w:tcW w:w="8024" w:type="dxa"/>
          </w:tcPr>
          <w:p w14:paraId="025151EE" w14:textId="42B7E1B9" w:rsidR="00810047" w:rsidRDefault="00810047" w:rsidP="00404110">
            <w:r>
              <w:t>Personalmapper som lister kompetanse og erfaring på alt Part-IS personell skal lagres så lenge de er ansatt og i minst 3 år etter de slutter. Berørt personell skal ha anledning til å se sin mappe, og få med en kopi av denne når de slutter</w:t>
            </w:r>
          </w:p>
        </w:tc>
        <w:tc>
          <w:tcPr>
            <w:tcW w:w="5013" w:type="dxa"/>
          </w:tcPr>
          <w:p w14:paraId="04C0D61B" w14:textId="77777777" w:rsidR="00810047" w:rsidRDefault="00810047" w:rsidP="00404110"/>
        </w:tc>
      </w:tr>
      <w:tr w:rsidR="00810047" w14:paraId="29A1BFD8" w14:textId="77777777" w:rsidTr="650F04E2">
        <w:trPr>
          <w:jc w:val="center"/>
        </w:trPr>
        <w:tc>
          <w:tcPr>
            <w:tcW w:w="1470" w:type="dxa"/>
            <w:vMerge/>
            <w:vAlign w:val="center"/>
          </w:tcPr>
          <w:p w14:paraId="3D6B8E43" w14:textId="77777777" w:rsidR="00810047" w:rsidRDefault="00810047" w:rsidP="00404110">
            <w:pPr>
              <w:jc w:val="center"/>
            </w:pPr>
          </w:p>
        </w:tc>
        <w:tc>
          <w:tcPr>
            <w:tcW w:w="881" w:type="dxa"/>
            <w:vAlign w:val="center"/>
          </w:tcPr>
          <w:p w14:paraId="623D6306" w14:textId="6E2FEB15" w:rsidR="00810047" w:rsidRDefault="00810047" w:rsidP="00404110">
            <w:pPr>
              <w:jc w:val="center"/>
            </w:pPr>
            <w:r>
              <w:t>(c)</w:t>
            </w:r>
          </w:p>
        </w:tc>
        <w:tc>
          <w:tcPr>
            <w:tcW w:w="8024" w:type="dxa"/>
          </w:tcPr>
          <w:p w14:paraId="680CD058" w14:textId="72225B89" w:rsidR="00810047" w:rsidRDefault="00810047" w:rsidP="00404110">
            <w:r>
              <w:t>Formatet på disse personalprofilene skal spesifiseres i organisasjonens prosedyrer</w:t>
            </w:r>
          </w:p>
        </w:tc>
        <w:tc>
          <w:tcPr>
            <w:tcW w:w="5013" w:type="dxa"/>
          </w:tcPr>
          <w:p w14:paraId="4EA1A0C7" w14:textId="77777777" w:rsidR="00810047" w:rsidRDefault="00810047" w:rsidP="00404110"/>
        </w:tc>
      </w:tr>
      <w:tr w:rsidR="00810047" w14:paraId="0B7A3350" w14:textId="77777777" w:rsidTr="650F04E2">
        <w:trPr>
          <w:jc w:val="center"/>
        </w:trPr>
        <w:tc>
          <w:tcPr>
            <w:tcW w:w="1470" w:type="dxa"/>
            <w:vMerge/>
            <w:vAlign w:val="center"/>
          </w:tcPr>
          <w:p w14:paraId="39A80BD3" w14:textId="77777777" w:rsidR="00810047" w:rsidRDefault="00810047" w:rsidP="00404110">
            <w:pPr>
              <w:jc w:val="center"/>
            </w:pPr>
          </w:p>
        </w:tc>
        <w:tc>
          <w:tcPr>
            <w:tcW w:w="881" w:type="dxa"/>
            <w:vAlign w:val="center"/>
          </w:tcPr>
          <w:p w14:paraId="7EDA7E3B" w14:textId="3FBB7535" w:rsidR="00810047" w:rsidRDefault="00810047" w:rsidP="00404110">
            <w:pPr>
              <w:jc w:val="center"/>
            </w:pPr>
            <w:r>
              <w:t>(d)</w:t>
            </w:r>
          </w:p>
        </w:tc>
        <w:tc>
          <w:tcPr>
            <w:tcW w:w="8024" w:type="dxa"/>
          </w:tcPr>
          <w:p w14:paraId="1F29A2CF" w14:textId="3311A1AE" w:rsidR="00810047" w:rsidRDefault="00810047" w:rsidP="00404110">
            <w:r>
              <w:t xml:space="preserve">Lagringssikkerhet av disse personalfilene må være i henhold til spesifisering gitt i dette punktet </w:t>
            </w:r>
          </w:p>
        </w:tc>
        <w:tc>
          <w:tcPr>
            <w:tcW w:w="5013" w:type="dxa"/>
          </w:tcPr>
          <w:p w14:paraId="1B579EF7" w14:textId="77777777" w:rsidR="00810047" w:rsidRDefault="00810047" w:rsidP="00404110"/>
        </w:tc>
      </w:tr>
      <w:tr w:rsidR="009B537A" w14:paraId="15B20002" w14:textId="77777777" w:rsidTr="650F04E2">
        <w:trPr>
          <w:jc w:val="center"/>
        </w:trPr>
        <w:tc>
          <w:tcPr>
            <w:tcW w:w="1470" w:type="dxa"/>
            <w:vAlign w:val="center"/>
          </w:tcPr>
          <w:p w14:paraId="67B90478" w14:textId="2FD7F495" w:rsidR="009B537A" w:rsidRDefault="00810047" w:rsidP="00404110">
            <w:pPr>
              <w:jc w:val="center"/>
            </w:pPr>
            <w:r w:rsidRPr="003B1750">
              <w:t>IS.</w:t>
            </w:r>
            <w:r>
              <w:t>I</w:t>
            </w:r>
            <w:r w:rsidRPr="003B1750">
              <w:t>.OR.2</w:t>
            </w:r>
            <w:r>
              <w:t>50</w:t>
            </w:r>
          </w:p>
        </w:tc>
        <w:tc>
          <w:tcPr>
            <w:tcW w:w="881" w:type="dxa"/>
            <w:vAlign w:val="center"/>
          </w:tcPr>
          <w:p w14:paraId="3FED6010" w14:textId="77777777" w:rsidR="009B537A" w:rsidRDefault="009B537A" w:rsidP="00404110">
            <w:pPr>
              <w:jc w:val="center"/>
            </w:pPr>
          </w:p>
        </w:tc>
        <w:tc>
          <w:tcPr>
            <w:tcW w:w="8024" w:type="dxa"/>
          </w:tcPr>
          <w:p w14:paraId="108B11F1" w14:textId="6AE7CAAE" w:rsidR="009B537A" w:rsidRPr="00810047" w:rsidRDefault="00810047" w:rsidP="00404110">
            <w:pPr>
              <w:rPr>
                <w:i/>
                <w:iCs/>
              </w:rPr>
            </w:pPr>
            <w:r w:rsidRPr="00810047">
              <w:rPr>
                <w:i/>
                <w:iCs/>
              </w:rPr>
              <w:t>ISMM må være bygget opp og beskrevet i henhold til dette punktet (se innledende liste i blått)</w:t>
            </w:r>
          </w:p>
        </w:tc>
        <w:tc>
          <w:tcPr>
            <w:tcW w:w="5013" w:type="dxa"/>
          </w:tcPr>
          <w:p w14:paraId="423C1302" w14:textId="77777777" w:rsidR="009B537A" w:rsidRDefault="009B537A" w:rsidP="00404110"/>
        </w:tc>
      </w:tr>
      <w:tr w:rsidR="009B537A" w:rsidRPr="00810047" w14:paraId="2334A8AE" w14:textId="77777777" w:rsidTr="650F04E2">
        <w:trPr>
          <w:jc w:val="center"/>
        </w:trPr>
        <w:tc>
          <w:tcPr>
            <w:tcW w:w="1470" w:type="dxa"/>
            <w:vAlign w:val="center"/>
          </w:tcPr>
          <w:p w14:paraId="0E69B22F" w14:textId="6494D5A8" w:rsidR="009B537A" w:rsidRDefault="00810047" w:rsidP="00404110">
            <w:pPr>
              <w:jc w:val="center"/>
            </w:pPr>
            <w:r w:rsidRPr="003B1750">
              <w:t>IS.</w:t>
            </w:r>
            <w:r>
              <w:t>I</w:t>
            </w:r>
            <w:r w:rsidRPr="003B1750">
              <w:t>.OR.2</w:t>
            </w:r>
            <w:r>
              <w:t>55</w:t>
            </w:r>
          </w:p>
        </w:tc>
        <w:tc>
          <w:tcPr>
            <w:tcW w:w="881" w:type="dxa"/>
            <w:vAlign w:val="center"/>
          </w:tcPr>
          <w:p w14:paraId="07E56675" w14:textId="71057A62" w:rsidR="009B537A" w:rsidRDefault="00810047" w:rsidP="00404110">
            <w:pPr>
              <w:jc w:val="center"/>
            </w:pPr>
            <w:r>
              <w:t>(a)</w:t>
            </w:r>
          </w:p>
        </w:tc>
        <w:tc>
          <w:tcPr>
            <w:tcW w:w="8024" w:type="dxa"/>
          </w:tcPr>
          <w:p w14:paraId="06983E85" w14:textId="19D5E5B9" w:rsidR="009B537A" w:rsidRPr="00810047" w:rsidRDefault="00810047" w:rsidP="00404110">
            <w:r w:rsidRPr="00810047">
              <w:t xml:space="preserve">Endringer av Information Security Management System </w:t>
            </w:r>
            <w:r w:rsidR="002B179A">
              <w:t>(ISMS)</w:t>
            </w:r>
            <w:r w:rsidR="006D3DDB">
              <w:t xml:space="preserve"> </w:t>
            </w:r>
            <w:r w:rsidRPr="00810047">
              <w:t>må skje</w:t>
            </w:r>
            <w:r>
              <w:t xml:space="preserve"> i henhold til </w:t>
            </w:r>
            <w:r w:rsidR="002B179A">
              <w:t xml:space="preserve">prosedyren organisasjonen har beskrevet og fått godkjent av Luftfartstilsynet </w:t>
            </w:r>
          </w:p>
        </w:tc>
        <w:tc>
          <w:tcPr>
            <w:tcW w:w="5013" w:type="dxa"/>
          </w:tcPr>
          <w:p w14:paraId="19A327A5" w14:textId="77777777" w:rsidR="009B537A" w:rsidRPr="00810047" w:rsidRDefault="009B537A" w:rsidP="00404110"/>
        </w:tc>
      </w:tr>
      <w:tr w:rsidR="009B537A" w:rsidRPr="00810047" w14:paraId="31C1EC5D" w14:textId="77777777" w:rsidTr="650F04E2">
        <w:trPr>
          <w:jc w:val="center"/>
        </w:trPr>
        <w:tc>
          <w:tcPr>
            <w:tcW w:w="1470" w:type="dxa"/>
            <w:vAlign w:val="center"/>
          </w:tcPr>
          <w:p w14:paraId="37645AC3" w14:textId="77777777" w:rsidR="009B537A" w:rsidRPr="00810047" w:rsidRDefault="009B537A" w:rsidP="00404110">
            <w:pPr>
              <w:jc w:val="center"/>
            </w:pPr>
          </w:p>
        </w:tc>
        <w:tc>
          <w:tcPr>
            <w:tcW w:w="881" w:type="dxa"/>
            <w:vAlign w:val="center"/>
          </w:tcPr>
          <w:p w14:paraId="1FFABC4A" w14:textId="3E3FC324" w:rsidR="009B537A" w:rsidRPr="00810047" w:rsidRDefault="002B179A" w:rsidP="00404110">
            <w:pPr>
              <w:jc w:val="center"/>
            </w:pPr>
            <w:r>
              <w:t>(b)</w:t>
            </w:r>
          </w:p>
        </w:tc>
        <w:tc>
          <w:tcPr>
            <w:tcW w:w="8024" w:type="dxa"/>
          </w:tcPr>
          <w:p w14:paraId="7116275D" w14:textId="35E35A2B" w:rsidR="009B537A" w:rsidRPr="00810047" w:rsidRDefault="002B179A" w:rsidP="00404110">
            <w:r>
              <w:t xml:space="preserve">Endringer som ikke dekkes av prosedyren krever forhåndsgodkjenning av Luftfartstilsynet før de </w:t>
            </w:r>
            <w:r w:rsidR="00485318">
              <w:t>iverksettes</w:t>
            </w:r>
          </w:p>
        </w:tc>
        <w:tc>
          <w:tcPr>
            <w:tcW w:w="5013" w:type="dxa"/>
          </w:tcPr>
          <w:p w14:paraId="79F11BBC" w14:textId="77777777" w:rsidR="009B537A" w:rsidRPr="00810047" w:rsidRDefault="009B537A" w:rsidP="00404110"/>
        </w:tc>
      </w:tr>
      <w:tr w:rsidR="009B537A" w:rsidRPr="00810047" w14:paraId="6FDC3E8C" w14:textId="77777777" w:rsidTr="650F04E2">
        <w:trPr>
          <w:jc w:val="center"/>
        </w:trPr>
        <w:tc>
          <w:tcPr>
            <w:tcW w:w="1470" w:type="dxa"/>
            <w:vAlign w:val="center"/>
          </w:tcPr>
          <w:p w14:paraId="3993D6EC" w14:textId="37078F5A" w:rsidR="009B537A" w:rsidRPr="00810047" w:rsidRDefault="002B179A" w:rsidP="00404110">
            <w:pPr>
              <w:jc w:val="center"/>
            </w:pPr>
            <w:r w:rsidRPr="003B1750">
              <w:t>IS.</w:t>
            </w:r>
            <w:r>
              <w:t>I</w:t>
            </w:r>
            <w:r w:rsidRPr="003B1750">
              <w:t>.OR.2</w:t>
            </w:r>
            <w:r>
              <w:t>60</w:t>
            </w:r>
          </w:p>
        </w:tc>
        <w:tc>
          <w:tcPr>
            <w:tcW w:w="881" w:type="dxa"/>
            <w:vAlign w:val="center"/>
          </w:tcPr>
          <w:p w14:paraId="77A8FB31" w14:textId="77777777" w:rsidR="009B537A" w:rsidRPr="00810047" w:rsidRDefault="009B537A" w:rsidP="00404110">
            <w:pPr>
              <w:jc w:val="center"/>
            </w:pPr>
          </w:p>
        </w:tc>
        <w:tc>
          <w:tcPr>
            <w:tcW w:w="8024" w:type="dxa"/>
          </w:tcPr>
          <w:p w14:paraId="28B97060" w14:textId="2F7CA825" w:rsidR="009B537A" w:rsidRPr="00810047" w:rsidRDefault="002B179A" w:rsidP="00404110">
            <w:r>
              <w:t>En evaluering av ISMS skal gjennomføres etter faste etablerte intervaller, og hver gang etter en hendelse.</w:t>
            </w:r>
          </w:p>
        </w:tc>
        <w:tc>
          <w:tcPr>
            <w:tcW w:w="5013" w:type="dxa"/>
          </w:tcPr>
          <w:p w14:paraId="6D18EA2A" w14:textId="77777777" w:rsidR="009B537A" w:rsidRPr="00810047" w:rsidRDefault="009B537A" w:rsidP="00404110"/>
        </w:tc>
      </w:tr>
    </w:tbl>
    <w:p w14:paraId="5B319F47" w14:textId="77777777" w:rsidR="003B1750" w:rsidRPr="00810047" w:rsidRDefault="003B1750"/>
    <w:sectPr w:rsidR="003B1750" w:rsidRPr="00810047" w:rsidSect="00953A8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9A869" w14:textId="77777777" w:rsidR="00050C16" w:rsidRDefault="00050C16" w:rsidP="00155D32">
      <w:pPr>
        <w:spacing w:after="0" w:line="240" w:lineRule="auto"/>
      </w:pPr>
      <w:r>
        <w:separator/>
      </w:r>
    </w:p>
  </w:endnote>
  <w:endnote w:type="continuationSeparator" w:id="0">
    <w:p w14:paraId="6CD81CB9" w14:textId="77777777" w:rsidR="00050C16" w:rsidRDefault="00050C16" w:rsidP="00155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A526D" w14:textId="77777777" w:rsidR="00155D32" w:rsidRDefault="00155D3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89B9" w14:textId="77777777" w:rsidR="00155D32" w:rsidRDefault="00155D3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A0F57" w14:textId="77777777" w:rsidR="00155D32" w:rsidRDefault="00155D3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BA23E" w14:textId="77777777" w:rsidR="00050C16" w:rsidRDefault="00050C16" w:rsidP="00155D32">
      <w:pPr>
        <w:spacing w:after="0" w:line="240" w:lineRule="auto"/>
      </w:pPr>
      <w:r>
        <w:separator/>
      </w:r>
    </w:p>
  </w:footnote>
  <w:footnote w:type="continuationSeparator" w:id="0">
    <w:p w14:paraId="390514F7" w14:textId="77777777" w:rsidR="00050C16" w:rsidRDefault="00050C16" w:rsidP="00155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3A615" w14:textId="77777777" w:rsidR="00155D32" w:rsidRDefault="00155D3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ACFA2" w14:textId="2B942B6A" w:rsidR="00155D32" w:rsidRDefault="00155D32">
    <w:pPr>
      <w:pStyle w:val="Topptekst"/>
    </w:pPr>
    <w:r>
      <w:rPr>
        <w:noProof/>
      </w:rPr>
      <w:drawing>
        <wp:inline distT="0" distB="0" distL="0" distR="0" wp14:anchorId="6E524EC2" wp14:editId="38A64DDD">
          <wp:extent cx="2209804" cy="664465"/>
          <wp:effectExtent l="0" t="0" r="0" b="0"/>
          <wp:docPr id="1513647701" name="Bilde 1" descr="Et bilde som inneholder Grafikk, grafisk design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647701" name="Bilde 1" descr="Et bilde som inneholder Grafikk, grafisk design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4" cy="664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8C5CA" w14:textId="77777777" w:rsidR="00155D32" w:rsidRDefault="00155D3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A0E13"/>
    <w:multiLevelType w:val="hybridMultilevel"/>
    <w:tmpl w:val="2E18B2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263DB"/>
    <w:multiLevelType w:val="hybridMultilevel"/>
    <w:tmpl w:val="2C700DFA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28116946">
    <w:abstractNumId w:val="0"/>
  </w:num>
  <w:num w:numId="2" w16cid:durableId="1464080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48"/>
    <w:rsid w:val="00014B29"/>
    <w:rsid w:val="00022C61"/>
    <w:rsid w:val="00034AC8"/>
    <w:rsid w:val="000400F0"/>
    <w:rsid w:val="00050C16"/>
    <w:rsid w:val="00060F77"/>
    <w:rsid w:val="00094048"/>
    <w:rsid w:val="00095FE5"/>
    <w:rsid w:val="000A5734"/>
    <w:rsid w:val="000C047B"/>
    <w:rsid w:val="000D0428"/>
    <w:rsid w:val="000D087A"/>
    <w:rsid w:val="000D39BC"/>
    <w:rsid w:val="000D4203"/>
    <w:rsid w:val="000D4C04"/>
    <w:rsid w:val="000F0F14"/>
    <w:rsid w:val="000F4C17"/>
    <w:rsid w:val="00102EED"/>
    <w:rsid w:val="00117FCD"/>
    <w:rsid w:val="00121292"/>
    <w:rsid w:val="0013309C"/>
    <w:rsid w:val="00144D41"/>
    <w:rsid w:val="00155D32"/>
    <w:rsid w:val="00161549"/>
    <w:rsid w:val="00167F75"/>
    <w:rsid w:val="001B1291"/>
    <w:rsid w:val="001B6382"/>
    <w:rsid w:val="001C6C33"/>
    <w:rsid w:val="001D1CE9"/>
    <w:rsid w:val="001D2EF4"/>
    <w:rsid w:val="001D631E"/>
    <w:rsid w:val="001E511C"/>
    <w:rsid w:val="001F580C"/>
    <w:rsid w:val="001F7E3B"/>
    <w:rsid w:val="00225C1C"/>
    <w:rsid w:val="00262115"/>
    <w:rsid w:val="00263AA0"/>
    <w:rsid w:val="00264965"/>
    <w:rsid w:val="00264DE5"/>
    <w:rsid w:val="00270837"/>
    <w:rsid w:val="00282532"/>
    <w:rsid w:val="002855E7"/>
    <w:rsid w:val="002970CA"/>
    <w:rsid w:val="002A31BA"/>
    <w:rsid w:val="002B179A"/>
    <w:rsid w:val="002B4599"/>
    <w:rsid w:val="002B6FA3"/>
    <w:rsid w:val="002C6830"/>
    <w:rsid w:val="002E5DF5"/>
    <w:rsid w:val="002E615F"/>
    <w:rsid w:val="002E69BF"/>
    <w:rsid w:val="00300A79"/>
    <w:rsid w:val="00325233"/>
    <w:rsid w:val="00327E40"/>
    <w:rsid w:val="003414FD"/>
    <w:rsid w:val="00342A3E"/>
    <w:rsid w:val="00343CFF"/>
    <w:rsid w:val="00354B17"/>
    <w:rsid w:val="0036683C"/>
    <w:rsid w:val="00387E23"/>
    <w:rsid w:val="003944A8"/>
    <w:rsid w:val="003A3700"/>
    <w:rsid w:val="003A68C7"/>
    <w:rsid w:val="003B1750"/>
    <w:rsid w:val="003C205A"/>
    <w:rsid w:val="003D3174"/>
    <w:rsid w:val="003E3C84"/>
    <w:rsid w:val="003F27AE"/>
    <w:rsid w:val="003F40C0"/>
    <w:rsid w:val="004001BC"/>
    <w:rsid w:val="0040156E"/>
    <w:rsid w:val="00404110"/>
    <w:rsid w:val="00406162"/>
    <w:rsid w:val="00420029"/>
    <w:rsid w:val="0044423C"/>
    <w:rsid w:val="00445BF7"/>
    <w:rsid w:val="00455205"/>
    <w:rsid w:val="00455F8D"/>
    <w:rsid w:val="0046378A"/>
    <w:rsid w:val="00466F4C"/>
    <w:rsid w:val="00485318"/>
    <w:rsid w:val="004902E9"/>
    <w:rsid w:val="004A15E8"/>
    <w:rsid w:val="004B5165"/>
    <w:rsid w:val="004C095E"/>
    <w:rsid w:val="004C1D5D"/>
    <w:rsid w:val="004D0CB4"/>
    <w:rsid w:val="004D0E8B"/>
    <w:rsid w:val="005055E3"/>
    <w:rsid w:val="0051751E"/>
    <w:rsid w:val="00537B0C"/>
    <w:rsid w:val="005515F4"/>
    <w:rsid w:val="0055194F"/>
    <w:rsid w:val="005535E6"/>
    <w:rsid w:val="005656EF"/>
    <w:rsid w:val="00575811"/>
    <w:rsid w:val="005D618E"/>
    <w:rsid w:val="005E1CB2"/>
    <w:rsid w:val="005E7D38"/>
    <w:rsid w:val="005F4D53"/>
    <w:rsid w:val="00624320"/>
    <w:rsid w:val="00633683"/>
    <w:rsid w:val="00635248"/>
    <w:rsid w:val="006668A2"/>
    <w:rsid w:val="0067591C"/>
    <w:rsid w:val="006822B3"/>
    <w:rsid w:val="006940B4"/>
    <w:rsid w:val="006960F9"/>
    <w:rsid w:val="00697E74"/>
    <w:rsid w:val="006A738C"/>
    <w:rsid w:val="006B7673"/>
    <w:rsid w:val="006B769B"/>
    <w:rsid w:val="006C7607"/>
    <w:rsid w:val="006D3DDB"/>
    <w:rsid w:val="006F6358"/>
    <w:rsid w:val="00701B7E"/>
    <w:rsid w:val="00716749"/>
    <w:rsid w:val="0072493D"/>
    <w:rsid w:val="00737FC2"/>
    <w:rsid w:val="00750049"/>
    <w:rsid w:val="00767D6D"/>
    <w:rsid w:val="007825F5"/>
    <w:rsid w:val="00787634"/>
    <w:rsid w:val="007B31CD"/>
    <w:rsid w:val="007E29B6"/>
    <w:rsid w:val="007F7BAD"/>
    <w:rsid w:val="00800769"/>
    <w:rsid w:val="00810047"/>
    <w:rsid w:val="0081023E"/>
    <w:rsid w:val="00810A61"/>
    <w:rsid w:val="008235FA"/>
    <w:rsid w:val="00863958"/>
    <w:rsid w:val="00874F04"/>
    <w:rsid w:val="00876822"/>
    <w:rsid w:val="00894076"/>
    <w:rsid w:val="008A018A"/>
    <w:rsid w:val="008A2A5C"/>
    <w:rsid w:val="008A3346"/>
    <w:rsid w:val="008B0518"/>
    <w:rsid w:val="008C1319"/>
    <w:rsid w:val="008D0B4E"/>
    <w:rsid w:val="008D26C2"/>
    <w:rsid w:val="008E012D"/>
    <w:rsid w:val="008E2072"/>
    <w:rsid w:val="008E47FB"/>
    <w:rsid w:val="0093553C"/>
    <w:rsid w:val="00936B8B"/>
    <w:rsid w:val="00953A83"/>
    <w:rsid w:val="009625AE"/>
    <w:rsid w:val="00970071"/>
    <w:rsid w:val="009755FF"/>
    <w:rsid w:val="009A1267"/>
    <w:rsid w:val="009B537A"/>
    <w:rsid w:val="009E15AA"/>
    <w:rsid w:val="009E5448"/>
    <w:rsid w:val="00A03734"/>
    <w:rsid w:val="00A04901"/>
    <w:rsid w:val="00A168EE"/>
    <w:rsid w:val="00A26ED8"/>
    <w:rsid w:val="00A334C3"/>
    <w:rsid w:val="00A33BE4"/>
    <w:rsid w:val="00A34323"/>
    <w:rsid w:val="00A34F9F"/>
    <w:rsid w:val="00A427EF"/>
    <w:rsid w:val="00A569AC"/>
    <w:rsid w:val="00A61296"/>
    <w:rsid w:val="00A619D2"/>
    <w:rsid w:val="00A634AD"/>
    <w:rsid w:val="00A738FE"/>
    <w:rsid w:val="00A757A0"/>
    <w:rsid w:val="00A825D6"/>
    <w:rsid w:val="00A85E3F"/>
    <w:rsid w:val="00A9348D"/>
    <w:rsid w:val="00AA3129"/>
    <w:rsid w:val="00AA496B"/>
    <w:rsid w:val="00AA5D33"/>
    <w:rsid w:val="00AB4973"/>
    <w:rsid w:val="00AB66AA"/>
    <w:rsid w:val="00AD16A3"/>
    <w:rsid w:val="00AE46E1"/>
    <w:rsid w:val="00AE7D71"/>
    <w:rsid w:val="00B07695"/>
    <w:rsid w:val="00B11042"/>
    <w:rsid w:val="00B22B8E"/>
    <w:rsid w:val="00B26FA3"/>
    <w:rsid w:val="00B27822"/>
    <w:rsid w:val="00B86898"/>
    <w:rsid w:val="00B9105A"/>
    <w:rsid w:val="00B920DE"/>
    <w:rsid w:val="00B9529F"/>
    <w:rsid w:val="00B958A0"/>
    <w:rsid w:val="00BA71D8"/>
    <w:rsid w:val="00BB3451"/>
    <w:rsid w:val="00BB5154"/>
    <w:rsid w:val="00BC6510"/>
    <w:rsid w:val="00BF4BF7"/>
    <w:rsid w:val="00C06421"/>
    <w:rsid w:val="00C13E46"/>
    <w:rsid w:val="00C52B65"/>
    <w:rsid w:val="00C66EE3"/>
    <w:rsid w:val="00C82D9E"/>
    <w:rsid w:val="00C90444"/>
    <w:rsid w:val="00C93883"/>
    <w:rsid w:val="00CA3C8E"/>
    <w:rsid w:val="00CA7952"/>
    <w:rsid w:val="00CB4414"/>
    <w:rsid w:val="00CC63F2"/>
    <w:rsid w:val="00CE1532"/>
    <w:rsid w:val="00D10CB0"/>
    <w:rsid w:val="00D313D7"/>
    <w:rsid w:val="00D46272"/>
    <w:rsid w:val="00D4641C"/>
    <w:rsid w:val="00D50137"/>
    <w:rsid w:val="00D52BA8"/>
    <w:rsid w:val="00D552E0"/>
    <w:rsid w:val="00D60ED5"/>
    <w:rsid w:val="00D65EE6"/>
    <w:rsid w:val="00D704F6"/>
    <w:rsid w:val="00D70DCB"/>
    <w:rsid w:val="00D7232E"/>
    <w:rsid w:val="00D82398"/>
    <w:rsid w:val="00D873CC"/>
    <w:rsid w:val="00D95514"/>
    <w:rsid w:val="00D969A5"/>
    <w:rsid w:val="00DC05CC"/>
    <w:rsid w:val="00DE1FD8"/>
    <w:rsid w:val="00DE438F"/>
    <w:rsid w:val="00DE5D79"/>
    <w:rsid w:val="00E048A2"/>
    <w:rsid w:val="00E0511E"/>
    <w:rsid w:val="00E225C2"/>
    <w:rsid w:val="00E31236"/>
    <w:rsid w:val="00E32441"/>
    <w:rsid w:val="00E3403A"/>
    <w:rsid w:val="00E36DE5"/>
    <w:rsid w:val="00E63A68"/>
    <w:rsid w:val="00E72470"/>
    <w:rsid w:val="00E724DA"/>
    <w:rsid w:val="00E937DA"/>
    <w:rsid w:val="00E95729"/>
    <w:rsid w:val="00E96D2D"/>
    <w:rsid w:val="00EA699B"/>
    <w:rsid w:val="00EA75AB"/>
    <w:rsid w:val="00EB017E"/>
    <w:rsid w:val="00EB03B7"/>
    <w:rsid w:val="00EB31E0"/>
    <w:rsid w:val="00EF48CA"/>
    <w:rsid w:val="00F254F5"/>
    <w:rsid w:val="00F4110C"/>
    <w:rsid w:val="00F42815"/>
    <w:rsid w:val="00F4498D"/>
    <w:rsid w:val="00F623B5"/>
    <w:rsid w:val="00F73814"/>
    <w:rsid w:val="00F85BDC"/>
    <w:rsid w:val="00F87B51"/>
    <w:rsid w:val="00F922C3"/>
    <w:rsid w:val="00F953DB"/>
    <w:rsid w:val="00F977AA"/>
    <w:rsid w:val="00FA20D7"/>
    <w:rsid w:val="00FA2C9B"/>
    <w:rsid w:val="00FA6129"/>
    <w:rsid w:val="00FC5673"/>
    <w:rsid w:val="00FE1044"/>
    <w:rsid w:val="01BD2CC1"/>
    <w:rsid w:val="01C52DB9"/>
    <w:rsid w:val="0480D556"/>
    <w:rsid w:val="0767A76B"/>
    <w:rsid w:val="0B9C6EB9"/>
    <w:rsid w:val="0FD8EFDA"/>
    <w:rsid w:val="17DB2837"/>
    <w:rsid w:val="19CE9C25"/>
    <w:rsid w:val="1D772B8B"/>
    <w:rsid w:val="26617A0D"/>
    <w:rsid w:val="2808CE1E"/>
    <w:rsid w:val="305EE338"/>
    <w:rsid w:val="397BE4B5"/>
    <w:rsid w:val="3D1D08A9"/>
    <w:rsid w:val="3D2CA45E"/>
    <w:rsid w:val="3FB49554"/>
    <w:rsid w:val="499851D1"/>
    <w:rsid w:val="4AAA4CBD"/>
    <w:rsid w:val="4D288848"/>
    <w:rsid w:val="50F00550"/>
    <w:rsid w:val="5232581C"/>
    <w:rsid w:val="52CB5409"/>
    <w:rsid w:val="53307962"/>
    <w:rsid w:val="5533F7A2"/>
    <w:rsid w:val="55B15186"/>
    <w:rsid w:val="578AF24D"/>
    <w:rsid w:val="58355880"/>
    <w:rsid w:val="60A40EE3"/>
    <w:rsid w:val="6318383C"/>
    <w:rsid w:val="63BE60D4"/>
    <w:rsid w:val="649927D4"/>
    <w:rsid w:val="650F04E2"/>
    <w:rsid w:val="6E24C7A5"/>
    <w:rsid w:val="717947AE"/>
    <w:rsid w:val="77B12BA2"/>
    <w:rsid w:val="7E79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57C71"/>
  <w15:chartTrackingRefBased/>
  <w15:docId w15:val="{98B86593-5F44-4255-96E2-41CFF23E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35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35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352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35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35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35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35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35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35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35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35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35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3524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3524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3524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3524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3524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3524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35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35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35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35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35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3524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3524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3524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35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3524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35248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EA7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5D618E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5D618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5D618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5D618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D618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D618E"/>
    <w:rPr>
      <w:b/>
      <w:bCs/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sid w:val="00A34323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34323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F953DB"/>
    <w:rPr>
      <w:color w:val="2B579A"/>
      <w:shd w:val="clear" w:color="auto" w:fill="E1DFDD"/>
    </w:rPr>
  </w:style>
  <w:style w:type="paragraph" w:styleId="Bildetekst">
    <w:name w:val="caption"/>
    <w:basedOn w:val="Normal"/>
    <w:next w:val="Normal"/>
    <w:uiPriority w:val="35"/>
    <w:unhideWhenUsed/>
    <w:qFormat/>
    <w:rsid w:val="00EB31E0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155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55D32"/>
  </w:style>
  <w:style w:type="paragraph" w:styleId="Bunntekst">
    <w:name w:val="footer"/>
    <w:basedOn w:val="Normal"/>
    <w:link w:val="BunntekstTegn"/>
    <w:uiPriority w:val="99"/>
    <w:unhideWhenUsed/>
    <w:rsid w:val="00155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55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ovdata.no/eu/32022r1645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ovdata.no/eu/32023r0203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lovdata.no/dokument/SF/forskrift/2025-10-24-2093?q=2023/203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AA0839E5514B4D89EBF10299415ADF" ma:contentTypeVersion="4" ma:contentTypeDescription="Opprett et nytt dokument." ma:contentTypeScope="" ma:versionID="e6e709dfda699994eda0464c7c4cb4dd">
  <xsd:schema xmlns:xsd="http://www.w3.org/2001/XMLSchema" xmlns:xs="http://www.w3.org/2001/XMLSchema" xmlns:p="http://schemas.microsoft.com/office/2006/metadata/properties" xmlns:ns2="d05bcedf-63e3-4b59-a874-80b9f098e64f" targetNamespace="http://schemas.microsoft.com/office/2006/metadata/properties" ma:root="true" ma:fieldsID="0dd4d713821a7f56d9f82f3b7eb189fc" ns2:_="">
    <xsd:import namespace="d05bcedf-63e3-4b59-a874-80b9f098e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bcedf-63e3-4b59-a874-80b9f098e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57A750-9D66-4E82-8EB7-091517C94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bcedf-63e3-4b59-a874-80b9f098e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0A9C0-2826-4EFE-A20E-AA016A4183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0E98A5-5564-4563-9926-150EF4C33F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1534</Words>
  <Characters>9484</Characters>
  <Application>Microsoft Office Word</Application>
  <DocSecurity>4</DocSecurity>
  <Lines>296</Lines>
  <Paragraphs>148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10870</CharactersWithSpaces>
  <SharedDoc>false</SharedDoc>
  <HLinks>
    <vt:vector size="36" baseType="variant">
      <vt:variant>
        <vt:i4>1310810</vt:i4>
      </vt:variant>
      <vt:variant>
        <vt:i4>6</vt:i4>
      </vt:variant>
      <vt:variant>
        <vt:i4>0</vt:i4>
      </vt:variant>
      <vt:variant>
        <vt:i4>5</vt:i4>
      </vt:variant>
      <vt:variant>
        <vt:lpwstr>https://lovdata.no/eu/32022r1645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https://lovdata.no/eu/32023r0203</vt:lpwstr>
      </vt:variant>
      <vt:variant>
        <vt:lpwstr/>
      </vt:variant>
      <vt:variant>
        <vt:i4>6750334</vt:i4>
      </vt:variant>
      <vt:variant>
        <vt:i4>0</vt:i4>
      </vt:variant>
      <vt:variant>
        <vt:i4>0</vt:i4>
      </vt:variant>
      <vt:variant>
        <vt:i4>5</vt:i4>
      </vt:variant>
      <vt:variant>
        <vt:lpwstr>https://lovdata.no/dokument/SF/forskrift/2025-10-24-2093?q=2023/203</vt:lpwstr>
      </vt:variant>
      <vt:variant>
        <vt:lpwstr/>
      </vt:variant>
      <vt:variant>
        <vt:i4>1835057</vt:i4>
      </vt:variant>
      <vt:variant>
        <vt:i4>6</vt:i4>
      </vt:variant>
      <vt:variant>
        <vt:i4>0</vt:i4>
      </vt:variant>
      <vt:variant>
        <vt:i4>5</vt:i4>
      </vt:variant>
      <vt:variant>
        <vt:lpwstr>mailto:sta@caa.no</vt:lpwstr>
      </vt:variant>
      <vt:variant>
        <vt:lpwstr/>
      </vt:variant>
      <vt:variant>
        <vt:i4>1835057</vt:i4>
      </vt:variant>
      <vt:variant>
        <vt:i4>3</vt:i4>
      </vt:variant>
      <vt:variant>
        <vt:i4>0</vt:i4>
      </vt:variant>
      <vt:variant>
        <vt:i4>5</vt:i4>
      </vt:variant>
      <vt:variant>
        <vt:lpwstr>mailto:sta@caa.no</vt:lpwstr>
      </vt:variant>
      <vt:variant>
        <vt:lpwstr/>
      </vt:variant>
      <vt:variant>
        <vt:i4>1835057</vt:i4>
      </vt:variant>
      <vt:variant>
        <vt:i4>0</vt:i4>
      </vt:variant>
      <vt:variant>
        <vt:i4>0</vt:i4>
      </vt:variant>
      <vt:variant>
        <vt:i4>5</vt:i4>
      </vt:variant>
      <vt:variant>
        <vt:lpwstr>mailto:sta@caa.no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Rosland, Ståle</dc:creator>
  <cp:keywords/>
  <dc:description/>
  <cp:lastModifiedBy>Risa, Hanne</cp:lastModifiedBy>
  <cp:revision>2</cp:revision>
  <dcterms:created xsi:type="dcterms:W3CDTF">2026-01-30T15:00:00Z</dcterms:created>
  <dcterms:modified xsi:type="dcterms:W3CDTF">2026-01-30T15:00:00Z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0x010100D6AA0839E5514B4D89EBF10299415ADF</vt:lpwstr>
  </property>
  <property fmtid="{D5CDD505-2E9C-101B-9397-08002B2CF9AE}" pid="3" name="GrammarlyDocumentId">
    <vt:lpwstr>18408105-434b-4eef-8263-f090c780ae5a</vt:lpwstr>
  </property>
</Properties>
</file>